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Debate 1 - Philosophy</w:t>
      </w:r>
    </w:p>
    <w:p>
      <w:pPr>
        <w:pStyle w:val="Subtitle"/>
      </w:pPr>
      <w:r>
        <w:t xml:space="preserve">Artificial Intelligence Policy</w:t>
      </w:r>
    </w:p>
    <w:p>
      <w:pPr>
        <w:pStyle w:val="Author"/>
      </w:pPr>
      <w:r>
        <w:t xml:space="preserve">Prof. Jack Reilly</w:t>
      </w:r>
    </w:p>
    <w:p>
      <w:pPr>
        <w:pStyle w:val="Date"/>
      </w:pPr>
      <w:r>
        <w:t xml:space="preserve">S2026</w:t>
      </w:r>
    </w:p>
    <w:bookmarkStart w:id="20" w:name="resolution"/>
    <w:p>
      <w:pPr>
        <w:pStyle w:val="Heading2"/>
      </w:pPr>
      <w:r>
        <w:t xml:space="preserve">Resolution</w:t>
      </w:r>
    </w:p>
    <w:p>
      <w:pPr>
        <w:pStyle w:val="FirstParagraph"/>
      </w:pPr>
      <w:r>
        <w:rPr>
          <w:b/>
          <w:bCs/>
        </w:rPr>
        <w:t xml:space="preserve">An entity that passes the Turing Test is intelligent.</w:t>
      </w:r>
    </w:p>
    <w:bookmarkEnd w:id="20"/>
    <w:bookmarkStart w:id="23" w:name="amendments-and-adjustments"/>
    <w:p>
      <w:pPr>
        <w:pStyle w:val="Heading2"/>
      </w:pPr>
      <w:r>
        <w:t xml:space="preserve">Amendments and Adjustments</w:t>
      </w:r>
    </w:p>
    <w:p>
      <w:pPr>
        <w:pStyle w:val="Compact"/>
        <w:numPr>
          <w:ilvl w:val="0"/>
          <w:numId w:val="1001"/>
        </w:numPr>
      </w:pPr>
      <w:r>
        <w:t xml:space="preserve">See</w:t>
      </w:r>
      <w:r>
        <w:t xml:space="preserve"> </w:t>
      </w:r>
      <w:hyperlink r:id="rId21">
        <w:r>
          <w:rPr>
            <w:rStyle w:val="Hyperlink"/>
          </w:rPr>
          <w:t xml:space="preserve">debate guidelines</w:t>
        </w:r>
      </w:hyperlink>
      <w:r>
        <w:t xml:space="preserve"> </w:t>
      </w:r>
      <w:r>
        <w:t xml:space="preserve">and</w:t>
      </w:r>
      <w:r>
        <w:t xml:space="preserve"> </w:t>
      </w:r>
      <w:hyperlink r:id="rId22">
        <w:r>
          <w:rPr>
            <w:rStyle w:val="Hyperlink"/>
          </w:rPr>
          <w:t xml:space="preserve">debate tips</w:t>
        </w:r>
      </w:hyperlink>
      <w:r>
        <w:t xml:space="preserve"> </w:t>
      </w:r>
      <w:r>
        <w:t xml:space="preserve">for guidance and details.</w:t>
      </w:r>
    </w:p>
    <w:p>
      <w:pPr>
        <w:pStyle w:val="Compact"/>
        <w:numPr>
          <w:ilvl w:val="0"/>
          <w:numId w:val="1001"/>
        </w:numPr>
      </w:pPr>
      <w:r>
        <w:t xml:space="preserve">There are</w:t>
      </w:r>
      <w:r>
        <w:t xml:space="preserve"> </w:t>
      </w:r>
      <w:r>
        <w:rPr>
          <w:b/>
          <w:bCs/>
        </w:rPr>
        <w:t xml:space="preserve">no</w:t>
      </w:r>
      <w:r>
        <w:t xml:space="preserve"> </w:t>
      </w:r>
      <w:r>
        <w:t xml:space="preserve">adjustments to the standard debate format for this debate.</w:t>
      </w:r>
    </w:p>
    <w:bookmarkEnd w:id="23"/>
    <w:bookmarkStart w:id="24" w:name="judges-notes"/>
    <w:p>
      <w:pPr>
        <w:pStyle w:val="Heading2"/>
      </w:pPr>
      <w:r>
        <w:t xml:space="preserve">Judge’s Notes</w:t>
      </w:r>
    </w:p>
    <w:p>
      <w:pPr>
        <w:pStyle w:val="FirstParagraph"/>
      </w:pPr>
      <w:r>
        <w:t xml:space="preserve">It may help to think of this debate as a warm-up and illustration of the debate format. Later debates typically take place over more substantive policy disputes, with a potential greater role for evidence; this first debate is meant to illustrate the form of debate itself. It can help, for instance, to think about how you might have a debate over similar</w:t>
      </w:r>
      <w:r>
        <w:t xml:space="preserve"> </w:t>
      </w:r>
      <w:r>
        <w:t xml:space="preserve">“debate training”</w:t>
      </w:r>
      <w:r>
        <w:t xml:space="preserve"> </w:t>
      </w:r>
      <w:r>
        <w:t xml:space="preserve">resolutions, like:</w:t>
      </w:r>
    </w:p>
    <w:p>
      <w:pPr>
        <w:pStyle w:val="Compact"/>
        <w:numPr>
          <w:ilvl w:val="0"/>
          <w:numId w:val="1002"/>
        </w:numPr>
      </w:pPr>
      <w:r>
        <w:t xml:space="preserve">“A hot dog is a sandwich”</w:t>
      </w:r>
    </w:p>
    <w:p>
      <w:pPr>
        <w:pStyle w:val="Compact"/>
        <w:numPr>
          <w:ilvl w:val="0"/>
          <w:numId w:val="1002"/>
        </w:numPr>
      </w:pPr>
      <w:r>
        <w:t xml:space="preserve">“Cereal is a soup”</w:t>
      </w:r>
    </w:p>
    <w:p>
      <w:pPr>
        <w:pStyle w:val="Compact"/>
        <w:numPr>
          <w:ilvl w:val="0"/>
          <w:numId w:val="1002"/>
        </w:numPr>
      </w:pPr>
      <w:r>
        <w:t xml:space="preserve">“Peppers are fruits”</w:t>
      </w:r>
    </w:p>
    <w:p>
      <w:pPr>
        <w:pStyle w:val="Compact"/>
        <w:numPr>
          <w:ilvl w:val="0"/>
          <w:numId w:val="1002"/>
        </w:numPr>
      </w:pPr>
      <w:r>
        <w:t xml:space="preserve">“Pluto should be classified as a planet”</w:t>
      </w:r>
    </w:p>
    <w:p>
      <w:pPr>
        <w:pStyle w:val="Compact"/>
        <w:numPr>
          <w:ilvl w:val="0"/>
          <w:numId w:val="1002"/>
        </w:numPr>
      </w:pPr>
      <w:r>
        <w:t xml:space="preserve">“Chess is a sport”</w:t>
      </w:r>
    </w:p>
    <w:p>
      <w:pPr>
        <w:pStyle w:val="Compact"/>
        <w:numPr>
          <w:ilvl w:val="0"/>
          <w:numId w:val="1002"/>
        </w:numPr>
      </w:pPr>
      <w:r>
        <w:t xml:space="preserve">“Coffee is better than tea”</w:t>
      </w:r>
    </w:p>
    <w:p>
      <w:pPr>
        <w:pStyle w:val="Compact"/>
        <w:numPr>
          <w:ilvl w:val="0"/>
          <w:numId w:val="1002"/>
        </w:numPr>
      </w:pPr>
      <w:r>
        <w:t xml:space="preserve">“Breakfast food is superior to dinner food”</w:t>
      </w:r>
    </w:p>
    <w:p>
      <w:pPr>
        <w:pStyle w:val="FirstParagraph"/>
      </w:pPr>
      <w:r>
        <w:t xml:space="preserve">You should expect that much of this debate will turn on how key terms like</w:t>
      </w:r>
      <w:r>
        <w:t xml:space="preserve"> </w:t>
      </w:r>
      <w:r>
        <w:t xml:space="preserve">“intelligence”</w:t>
      </w:r>
      <w:r>
        <w:t xml:space="preserve"> </w:t>
      </w:r>
      <w:r>
        <w:t xml:space="preserve">and</w:t>
      </w:r>
      <w:r>
        <w:t xml:space="preserve"> </w:t>
      </w:r>
      <w:r>
        <w:t xml:space="preserve">“passing the Turing Test”</w:t>
      </w:r>
      <w:r>
        <w:t xml:space="preserve"> </w:t>
      </w:r>
      <w:r>
        <w:t xml:space="preserve">are defined. It’s not that there is no role for evidence in these resolutions - there is - but evidentiary proof is secondary to argumentative structure and strategy in winning these kinds of</w:t>
      </w:r>
      <w:r>
        <w:t xml:space="preserve"> </w:t>
      </w:r>
      <w:r>
        <w:t xml:space="preserve">“training”</w:t>
      </w:r>
      <w:r>
        <w:t xml:space="preserve"> </w:t>
      </w:r>
      <w:r>
        <w:t xml:space="preserve">debates. Remember, the goal is not to be correct: the goal is to make the best case possible under reasonable definitions (and learn something substantive about both sides of a debate along the way).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dguidelines.qmd" TargetMode="External" /><Relationship Type="http://schemas.openxmlformats.org/officeDocument/2006/relationships/hyperlink" Id="rId22" Target="dtips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dguidelines.qmd" TargetMode="External" /><Relationship Type="http://schemas.openxmlformats.org/officeDocument/2006/relationships/hyperlink" Id="rId22" Target="dtips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Debate 1 - Philosophy</dc:title>
  <dc:creator>Prof. Jack Reilly</dc:creator>
  <cp:keywords/>
  <dcterms:created xsi:type="dcterms:W3CDTF">2026-01-29T21:48:03Z</dcterms:created>
  <dcterms:modified xsi:type="dcterms:W3CDTF">2026-01-29T21:48:03Z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date">
    <vt:lpwstr>S2026</vt:lpwstr>
  </property>
  <property fmtid="{D5CDD505-2E9C-101B-9397-08002B2CF9AE}" pid="6" name="date-format">
    <vt:lpwstr>S2026</vt:lpwstr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sidebar">
    <vt:lpwstr>ps</vt:lpwstr>
  </property>
  <property fmtid="{D5CDD505-2E9C-101B-9397-08002B2CF9AE}" pid="12" name="subtitle">
    <vt:lpwstr>Artificial Intelligence Policy</vt:lpwstr>
  </property>
  <property fmtid="{D5CDD505-2E9C-101B-9397-08002B2CF9AE}" pid="13" name="toc-title">
    <vt:lpwstr>Table of contents</vt:lpwstr>
  </property>
</Properties>
</file>