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Schedule</w:t>
      </w:r>
    </w:p>
    <w:bookmarkStart w:id="24" w:name="course-schedule"/>
    <w:p>
      <w:pPr>
        <w:pStyle w:val="Heading2"/>
      </w:pPr>
      <w:r>
        <w:t xml:space="preserve">Course Schedule</w:t>
      </w:r>
    </w:p>
    <w:p>
      <w:pPr>
        <w:pStyle w:val="FirstParagraph"/>
      </w:pPr>
      <w:r>
        <w:rPr>
          <w:i/>
          <w:iCs/>
        </w:rPr>
        <w:t xml:space="preserve">subject to change</w:t>
      </w:r>
    </w:p>
    <w:tbl>
      <w:tblPr>
        <w:tblStyle w:val="Table"/>
        <w:tblW w:type="pct" w:w="5000"/>
        <w:tblLayout w:type="fixed"/>
        <w:tblLook w:firstRow="1" w:lastRow="0" w:firstColumn="0" w:lastColumn="0" w:noHBand="0" w:noVBand="0" w:val="0020"/>
      </w:tblPr>
      <w:tblGrid>
        <w:gridCol w:w="559"/>
        <w:gridCol w:w="3354"/>
        <w:gridCol w:w="3168"/>
        <w:gridCol w:w="838"/>
      </w:tblGrid>
      <w:tr>
        <w:trPr>
          <w:tblHeader w:val="on"/>
        </w:trPr>
        <w:tc>
          <w:tcPr/>
          <w:p>
            <w:pPr>
              <w:pStyle w:val="Compact"/>
            </w:pPr>
            <w:r>
              <w:t xml:space="preserve">Week</w:t>
            </w:r>
          </w:p>
        </w:tc>
        <w:tc>
          <w:tcPr/>
          <w:p>
            <w:pPr>
              <w:pStyle w:val="Compact"/>
            </w:pPr>
            <w:r>
              <w:rPr>
                <w:b/>
                <w:bCs/>
              </w:rPr>
              <w:t xml:space="preserve">Topic</w:t>
            </w:r>
          </w:p>
        </w:tc>
        <w:tc>
          <w:tcPr/>
          <w:p>
            <w:pPr>
              <w:pStyle w:val="Compact"/>
            </w:pPr>
            <w:r>
              <w:rPr>
                <w:b/>
                <w:bCs/>
              </w:rPr>
              <w:t xml:space="preserve">Tools</w:t>
            </w:r>
          </w:p>
        </w:tc>
        <w:tc>
          <w:tcPr/>
          <w:p>
            <w:pPr>
              <w:pStyle w:val="Compact"/>
            </w:pPr>
          </w:p>
        </w:tc>
      </w:tr>
      <w:tr>
        <w:tc>
          <w:tcPr/>
          <w:p>
            <w:pPr>
              <w:pStyle w:val="Compact"/>
            </w:pPr>
          </w:p>
        </w:tc>
        <w:tc>
          <w:tcPr/>
          <w:p>
            <w:pPr>
              <w:pStyle w:val="Compact"/>
            </w:pPr>
            <w:hyperlink r:id="rId9">
              <w:r>
                <w:rPr>
                  <w:rStyle w:val="Hyperlink"/>
                </w:rPr>
                <w:t xml:space="preserve">Preliminaries</w:t>
              </w:r>
            </w:hyperlink>
          </w:p>
        </w:tc>
        <w:tc>
          <w:tcPr/>
          <w:p>
            <w:pPr>
              <w:pStyle w:val="Compact"/>
            </w:pPr>
          </w:p>
        </w:tc>
        <w:tc>
          <w:tcPr/>
          <w:p>
            <w:pPr>
              <w:pStyle w:val="Compact"/>
            </w:pPr>
          </w:p>
        </w:tc>
      </w:tr>
      <w:tr>
        <w:tc>
          <w:tcPr/>
          <w:p>
            <w:pPr>
              <w:pStyle w:val="Compact"/>
            </w:pPr>
            <w:r>
              <w:t xml:space="preserve">1</w:t>
            </w:r>
          </w:p>
        </w:tc>
        <w:tc>
          <w:tcPr/>
          <w:p>
            <w:pPr>
              <w:pStyle w:val="Compact"/>
            </w:pPr>
            <w:hyperlink r:id="rId10">
              <w:r>
                <w:rPr>
                  <w:rStyle w:val="Hyperlink"/>
                </w:rPr>
                <w:t xml:space="preserve">Course Introduction</w:t>
              </w:r>
            </w:hyperlink>
          </w:p>
        </w:tc>
        <w:tc>
          <w:tcPr/>
          <w:p>
            <w:pPr>
              <w:pStyle w:val="Compact"/>
            </w:pPr>
            <w:r>
              <w:t xml:space="preserve">Scripts; R and RStudio</w:t>
            </w:r>
          </w:p>
        </w:tc>
        <w:tc>
          <w:tcPr/>
          <w:p>
            <w:pPr>
              <w:pStyle w:val="Compact"/>
            </w:pPr>
          </w:p>
        </w:tc>
      </w:tr>
      <w:tr>
        <w:tc>
          <w:tcPr/>
          <w:p>
            <w:pPr>
              <w:pStyle w:val="Compact"/>
            </w:pPr>
            <w:r>
              <w:t xml:space="preserve">2</w:t>
            </w:r>
          </w:p>
        </w:tc>
        <w:tc>
          <w:tcPr/>
          <w:p>
            <w:pPr>
              <w:pStyle w:val="Compact"/>
            </w:pPr>
            <w:hyperlink r:id="rId11">
              <w:r>
                <w:rPr>
                  <w:rStyle w:val="Hyperlink"/>
                </w:rPr>
                <w:t xml:space="preserve">A Guide to Your Computer</w:t>
              </w:r>
            </w:hyperlink>
          </w:p>
        </w:tc>
        <w:tc>
          <w:tcPr/>
          <w:p>
            <w:pPr>
              <w:pStyle w:val="Compact"/>
            </w:pPr>
            <w:r>
              <w:t xml:space="preserve">Markup Languages; Quarto</w:t>
            </w:r>
          </w:p>
        </w:tc>
        <w:tc>
          <w:tcPr/>
          <w:p>
            <w:pPr>
              <w:pStyle w:val="Compact"/>
            </w:pPr>
          </w:p>
        </w:tc>
      </w:tr>
      <w:tr>
        <w:tc>
          <w:tcPr/>
          <w:p>
            <w:pPr>
              <w:pStyle w:val="Compact"/>
            </w:pPr>
            <w:r>
              <w:t xml:space="preserve">3</w:t>
            </w:r>
          </w:p>
        </w:tc>
        <w:tc>
          <w:tcPr/>
          <w:p>
            <w:pPr>
              <w:pStyle w:val="Compact"/>
            </w:pPr>
            <w:hyperlink r:id="rId12">
              <w:r>
                <w:rPr>
                  <w:rStyle w:val="Hyperlink"/>
                </w:rPr>
                <w:t xml:space="preserve">File Management &amp; Version Control</w:t>
              </w:r>
            </w:hyperlink>
          </w:p>
        </w:tc>
        <w:tc>
          <w:tcPr/>
          <w:p>
            <w:pPr>
              <w:pStyle w:val="Compact"/>
            </w:pPr>
            <w:r>
              <w:t xml:space="preserve">Filesystems; git; GitHub</w:t>
            </w:r>
          </w:p>
        </w:tc>
        <w:tc>
          <w:tcPr/>
          <w:p>
            <w:pPr>
              <w:pStyle w:val="Compact"/>
            </w:pPr>
          </w:p>
        </w:tc>
      </w:tr>
      <w:tr>
        <w:tc>
          <w:tcPr/>
          <w:p>
            <w:pPr>
              <w:pStyle w:val="Compact"/>
            </w:pPr>
            <w:r>
              <w:t xml:space="preserve">4</w:t>
            </w:r>
          </w:p>
        </w:tc>
        <w:tc>
          <w:tcPr/>
          <w:p>
            <w:pPr>
              <w:pStyle w:val="Compact"/>
            </w:pPr>
            <w:hyperlink r:id="rId13">
              <w:r>
                <w:rPr>
                  <w:rStyle w:val="Hyperlink"/>
                </w:rPr>
                <w:t xml:space="preserve">A Field Guide to Data</w:t>
              </w:r>
            </w:hyperlink>
          </w:p>
        </w:tc>
        <w:tc>
          <w:tcPr/>
          <w:p>
            <w:pPr>
              <w:pStyle w:val="Compact"/>
            </w:pPr>
            <w:r>
              <w:t xml:space="preserve">Data Formats; surveys, readr; tidyr</w:t>
            </w:r>
          </w:p>
        </w:tc>
        <w:tc>
          <w:tcPr/>
          <w:p>
            <w:pPr>
              <w:pStyle w:val="Compact"/>
            </w:pPr>
          </w:p>
        </w:tc>
      </w:tr>
      <w:tr>
        <w:tc>
          <w:tcPr/>
          <w:p>
            <w:pPr>
              <w:pStyle w:val="Compact"/>
            </w:pPr>
            <w:r>
              <w:t xml:space="preserve">5</w:t>
            </w:r>
          </w:p>
        </w:tc>
        <w:tc>
          <w:tcPr/>
          <w:p>
            <w:pPr>
              <w:pStyle w:val="Compact"/>
            </w:pPr>
            <w:hyperlink r:id="rId14">
              <w:r>
                <w:rPr>
                  <w:rStyle w:val="Hyperlink"/>
                </w:rPr>
                <w:t xml:space="preserve">Structural Data Manipulation</w:t>
              </w:r>
            </w:hyperlink>
          </w:p>
        </w:tc>
        <w:tc>
          <w:tcPr/>
          <w:p>
            <w:pPr>
              <w:pStyle w:val="Compact"/>
            </w:pPr>
            <w:r>
              <w:t xml:space="preserve">dplyr; srvyr</w:t>
            </w:r>
          </w:p>
        </w:tc>
        <w:tc>
          <w:tcPr/>
          <w:p>
            <w:pPr>
              <w:pStyle w:val="Compact"/>
            </w:pPr>
          </w:p>
        </w:tc>
      </w:tr>
      <w:tr>
        <w:tc>
          <w:tcPr/>
          <w:p>
            <w:pPr>
              <w:pStyle w:val="Compact"/>
            </w:pPr>
            <w:r>
              <w:t xml:space="preserve">6</w:t>
            </w:r>
          </w:p>
        </w:tc>
        <w:tc>
          <w:tcPr/>
          <w:p>
            <w:pPr>
              <w:pStyle w:val="Compact"/>
            </w:pPr>
            <w:hyperlink r:id="rId15">
              <w:r>
                <w:rPr>
                  <w:rStyle w:val="Hyperlink"/>
                </w:rPr>
                <w:t xml:space="preserve">Data Visualization I</w:t>
              </w:r>
            </w:hyperlink>
          </w:p>
        </w:tc>
        <w:tc>
          <w:tcPr/>
          <w:p>
            <w:pPr>
              <w:pStyle w:val="Compact"/>
            </w:pPr>
            <w:r>
              <w:t xml:space="preserve">Grammar of Graphics; ggplot2</w:t>
            </w:r>
          </w:p>
        </w:tc>
        <w:tc>
          <w:tcPr/>
          <w:p>
            <w:pPr>
              <w:pStyle w:val="Compact"/>
            </w:pPr>
          </w:p>
        </w:tc>
      </w:tr>
      <w:tr>
        <w:tc>
          <w:tcPr/>
          <w:p>
            <w:pPr>
              <w:pStyle w:val="Compact"/>
            </w:pPr>
            <w:r>
              <w:t xml:space="preserve">7</w:t>
            </w:r>
          </w:p>
        </w:tc>
        <w:tc>
          <w:tcPr/>
          <w:p>
            <w:pPr>
              <w:pStyle w:val="Compact"/>
            </w:pPr>
            <w:hyperlink r:id="rId16">
              <w:r>
                <w:rPr>
                  <w:rStyle w:val="Hyperlink"/>
                </w:rPr>
                <w:t xml:space="preserve">Data Visualization II</w:t>
              </w:r>
            </w:hyperlink>
          </w:p>
        </w:tc>
        <w:tc>
          <w:tcPr/>
          <w:p>
            <w:pPr>
              <w:pStyle w:val="Compact"/>
            </w:pPr>
            <w:r>
              <w:t xml:space="preserve">ggplot2</w:t>
            </w:r>
          </w:p>
        </w:tc>
        <w:tc>
          <w:tcPr/>
          <w:p>
            <w:pPr>
              <w:pStyle w:val="Compact"/>
            </w:pPr>
          </w:p>
        </w:tc>
      </w:tr>
      <w:tr>
        <w:tc>
          <w:tcPr/>
          <w:p>
            <w:pPr>
              <w:pStyle w:val="Compact"/>
            </w:pPr>
            <w:r>
              <w:t xml:space="preserve">8</w:t>
            </w:r>
          </w:p>
        </w:tc>
        <w:tc>
          <w:tcPr/>
          <w:p>
            <w:pPr>
              <w:pStyle w:val="Compact"/>
            </w:pPr>
            <w:r>
              <w:rPr>
                <w:b/>
                <w:bCs/>
              </w:rPr>
              <w:t xml:space="preserve">Core Exam (Thursday, October 15)</w:t>
            </w:r>
          </w:p>
        </w:tc>
        <w:tc>
          <w:tcPr/>
          <w:p>
            <w:pPr>
              <w:pStyle w:val="Compact"/>
            </w:pPr>
          </w:p>
        </w:tc>
        <w:tc>
          <w:tcPr/>
          <w:p>
            <w:pPr>
              <w:pStyle w:val="Compact"/>
            </w:pPr>
          </w:p>
        </w:tc>
      </w:tr>
      <w:tr>
        <w:tc>
          <w:tcPr/>
          <w:p>
            <w:pPr>
              <w:pStyle w:val="Compact"/>
            </w:pPr>
            <w:r>
              <w:t xml:space="preserve">9</w:t>
            </w:r>
          </w:p>
        </w:tc>
        <w:tc>
          <w:tcPr/>
          <w:p>
            <w:pPr>
              <w:pStyle w:val="Compact"/>
            </w:pPr>
            <w:hyperlink r:id="rId17">
              <w:r>
                <w:rPr>
                  <w:rStyle w:val="Hyperlink"/>
                </w:rPr>
                <w:t xml:space="preserve">Workflow &amp; Data Retrieval</w:t>
              </w:r>
            </w:hyperlink>
          </w:p>
        </w:tc>
        <w:tc>
          <w:tcPr/>
          <w:p>
            <w:pPr>
              <w:pStyle w:val="Compact"/>
            </w:pPr>
            <w:r>
              <w:t xml:space="preserve">tidycensus; APIs; database/SQL overview</w:t>
            </w:r>
          </w:p>
        </w:tc>
        <w:tc>
          <w:tcPr/>
          <w:p>
            <w:pPr>
              <w:pStyle w:val="Compact"/>
            </w:pPr>
          </w:p>
        </w:tc>
      </w:tr>
      <w:tr>
        <w:tc>
          <w:tcPr/>
          <w:p>
            <w:pPr>
              <w:pStyle w:val="Compact"/>
            </w:pPr>
            <w:r>
              <w:t xml:space="preserve">10</w:t>
            </w:r>
          </w:p>
        </w:tc>
        <w:tc>
          <w:tcPr/>
          <w:p>
            <w:pPr>
              <w:pStyle w:val="Compact"/>
            </w:pPr>
            <w:hyperlink r:id="rId18">
              <w:r>
                <w:rPr>
                  <w:rStyle w:val="Hyperlink"/>
                </w:rPr>
                <w:t xml:space="preserve">Social Networks &amp; Network Data</w:t>
              </w:r>
            </w:hyperlink>
          </w:p>
        </w:tc>
        <w:tc>
          <w:tcPr/>
          <w:p>
            <w:pPr>
              <w:pStyle w:val="Compact"/>
            </w:pPr>
            <w:r>
              <w:t xml:space="preserve">iGraph; statnet</w:t>
            </w:r>
          </w:p>
        </w:tc>
        <w:tc>
          <w:tcPr/>
          <w:p>
            <w:pPr>
              <w:pStyle w:val="Compact"/>
            </w:pPr>
          </w:p>
        </w:tc>
      </w:tr>
      <w:tr>
        <w:tc>
          <w:tcPr/>
          <w:p>
            <w:pPr>
              <w:pStyle w:val="Compact"/>
            </w:pPr>
            <w:r>
              <w:t xml:space="preserve">11</w:t>
            </w:r>
          </w:p>
        </w:tc>
        <w:tc>
          <w:tcPr/>
          <w:p>
            <w:pPr>
              <w:pStyle w:val="Compact"/>
            </w:pPr>
            <w:hyperlink r:id="rId19">
              <w:r>
                <w:rPr>
                  <w:rStyle w:val="Hyperlink"/>
                </w:rPr>
                <w:t xml:space="preserve">Cartography</w:t>
              </w:r>
            </w:hyperlink>
          </w:p>
        </w:tc>
        <w:tc>
          <w:tcPr/>
          <w:p>
            <w:pPr>
              <w:pStyle w:val="Compact"/>
            </w:pPr>
            <w:r>
              <w:t xml:space="preserve">tidyverse mapping; color scales; projection</w:t>
            </w:r>
          </w:p>
        </w:tc>
        <w:tc>
          <w:tcPr/>
          <w:p>
            <w:pPr>
              <w:pStyle w:val="Compact"/>
            </w:pPr>
          </w:p>
        </w:tc>
      </w:tr>
      <w:tr>
        <w:tc>
          <w:tcPr/>
          <w:p>
            <w:pPr>
              <w:pStyle w:val="Compact"/>
            </w:pPr>
            <w:r>
              <w:t xml:space="preserve">12</w:t>
            </w:r>
          </w:p>
        </w:tc>
        <w:tc>
          <w:tcPr/>
          <w:p>
            <w:pPr>
              <w:pStyle w:val="Compact"/>
            </w:pPr>
            <w:hyperlink r:id="rId20">
              <w:r>
                <w:rPr>
                  <w:rStyle w:val="Hyperlink"/>
                </w:rPr>
                <w:t xml:space="preserve">Geographic Data</w:t>
              </w:r>
            </w:hyperlink>
          </w:p>
        </w:tc>
        <w:tc>
          <w:tcPr/>
          <w:p>
            <w:pPr>
              <w:pStyle w:val="Compact"/>
            </w:pPr>
            <w:r>
              <w:t xml:space="preserve">sf; tigris; mapgl; osm</w:t>
            </w:r>
          </w:p>
        </w:tc>
        <w:tc>
          <w:tcPr/>
          <w:p>
            <w:pPr>
              <w:pStyle w:val="Compact"/>
            </w:pPr>
          </w:p>
        </w:tc>
      </w:tr>
      <w:tr>
        <w:tc>
          <w:tcPr/>
          <w:p>
            <w:pPr>
              <w:pStyle w:val="Compact"/>
            </w:pPr>
            <w:r>
              <w:t xml:space="preserve">13</w:t>
            </w:r>
          </w:p>
        </w:tc>
        <w:tc>
          <w:tcPr/>
          <w:p>
            <w:pPr>
              <w:pStyle w:val="Compact"/>
            </w:pPr>
            <w:hyperlink r:id="rId21">
              <w:r>
                <w:rPr>
                  <w:rStyle w:val="Hyperlink"/>
                </w:rPr>
                <w:t xml:space="preserve">Grab Bag: Statistics, Text, &amp; Working with AI</w:t>
              </w:r>
            </w:hyperlink>
          </w:p>
        </w:tc>
        <w:tc>
          <w:tcPr/>
          <w:p>
            <w:pPr>
              <w:pStyle w:val="Compact"/>
            </w:pPr>
            <w:r>
              <w:t xml:space="preserve">Loops, t.test(), lm(), glm()</w:t>
            </w:r>
          </w:p>
        </w:tc>
        <w:tc>
          <w:tcPr/>
          <w:p>
            <w:pPr>
              <w:pStyle w:val="Compact"/>
            </w:pPr>
          </w:p>
        </w:tc>
      </w:tr>
      <w:tr>
        <w:tc>
          <w:tcPr/>
          <w:p>
            <w:pPr>
              <w:pStyle w:val="Compact"/>
            </w:pPr>
            <w:r>
              <w:t xml:space="preserve">14</w:t>
            </w:r>
          </w:p>
        </w:tc>
        <w:tc>
          <w:tcPr/>
          <w:p>
            <w:pPr>
              <w:pStyle w:val="Compact"/>
            </w:pPr>
            <w:hyperlink r:id="rId22">
              <w:r>
                <w:rPr>
                  <w:rStyle w:val="Hyperlink"/>
                </w:rPr>
                <w:t xml:space="preserve">Project Presentations</w:t>
              </w:r>
            </w:hyperlink>
          </w:p>
        </w:tc>
        <w:tc>
          <w:tcPr/>
          <w:p>
            <w:pPr>
              <w:pStyle w:val="Compact"/>
            </w:pPr>
          </w:p>
        </w:tc>
        <w:tc>
          <w:tcPr/>
          <w:p>
            <w:pPr>
              <w:pStyle w:val="Compact"/>
            </w:pPr>
          </w:p>
        </w:tc>
      </w:tr>
      <w:tr>
        <w:tc>
          <w:tcPr/>
          <w:p>
            <w:pPr>
              <w:pStyle w:val="Compact"/>
            </w:pPr>
            <w:r>
              <w:t xml:space="preserve">F</w:t>
            </w:r>
          </w:p>
        </w:tc>
        <w:tc>
          <w:tcPr/>
          <w:p>
            <w:pPr>
              <w:pStyle w:val="Compact"/>
            </w:pPr>
            <w:r>
              <w:rPr>
                <w:b/>
                <w:bCs/>
              </w:rPr>
              <w:t xml:space="preserve">Finals Week (Project Due)</w:t>
            </w:r>
          </w:p>
        </w:tc>
        <w:tc>
          <w:tcPr/>
          <w:p>
            <w:pPr>
              <w:pStyle w:val="Compact"/>
            </w:pPr>
          </w:p>
        </w:tc>
        <w:tc>
          <w:tcPr/>
          <w:p>
            <w:pPr>
              <w:pStyle w:val="Compact"/>
            </w:pPr>
          </w:p>
        </w:tc>
      </w:tr>
    </w:tbl>
    <w:p>
      <w:r>
        <w:pict>
          <v:rect style="width:0;height:1.5pt" o:hralign="center" o:hrstd="t" o:hr="t"/>
        </w:pict>
      </w:r>
    </w:p>
    <w:bookmarkStart w:id="23" w:name="advanced-topics-if-we-get-to-them"/>
    <w:p>
      <w:pPr>
        <w:pStyle w:val="Heading3"/>
      </w:pPr>
      <w:r>
        <w:t xml:space="preserve">Advanced Topics</w:t>
      </w:r>
      <w:r>
        <w:t xml:space="preserve"> </w:t>
      </w:r>
      <w:r>
        <w:rPr>
          <w:i/>
          <w:iCs/>
        </w:rPr>
        <w:t xml:space="preserve">(If we get to them)</w:t>
      </w:r>
    </w:p>
    <w:tbl>
      <w:tblPr>
        <w:tblStyle w:val="Table"/>
        <w:tblW w:type="pct" w:w="5000"/>
        <w:tblLayout w:type="fixed"/>
        <w:tblLook w:firstRow="1" w:lastRow="0" w:firstColumn="0" w:lastColumn="0" w:noHBand="0" w:noVBand="0" w:val="0020"/>
      </w:tblPr>
      <w:tblGrid>
        <w:gridCol w:w="819"/>
        <w:gridCol w:w="4369"/>
        <w:gridCol w:w="1502"/>
        <w:gridCol w:w="1228"/>
      </w:tblGrid>
      <w:tr>
        <w:trPr>
          <w:tblHeader w:val="on"/>
        </w:trPr>
        <w:tc>
          <w:tcPr/>
          <w:p>
            <w:pPr>
              <w:pStyle w:val="Compact"/>
            </w:pPr>
            <w:r>
              <w:t xml:space="preserve">Week</w:t>
            </w:r>
          </w:p>
        </w:tc>
        <w:tc>
          <w:tcPr/>
          <w:p>
            <w:pPr>
              <w:pStyle w:val="Compact"/>
            </w:pPr>
            <w:r>
              <w:rPr>
                <w:b/>
                <w:bCs/>
              </w:rPr>
              <w:t xml:space="preserve">Topic</w:t>
            </w:r>
          </w:p>
        </w:tc>
        <w:tc>
          <w:tcPr/>
          <w:p>
            <w:pPr>
              <w:pStyle w:val="Compact"/>
            </w:pPr>
            <w:r>
              <w:rPr>
                <w:b/>
                <w:bCs/>
              </w:rPr>
              <w:t xml:space="preserve">Tools</w:t>
            </w:r>
          </w:p>
        </w:tc>
        <w:tc>
          <w:tcPr/>
          <w:p>
            <w:pPr>
              <w:pStyle w:val="Compact"/>
            </w:pPr>
          </w:p>
        </w:tc>
      </w:tr>
      <w:tr>
        <w:tc>
          <w:tcPr/>
          <w:p>
            <w:pPr>
              <w:pStyle w:val="Compact"/>
            </w:pPr>
          </w:p>
        </w:tc>
        <w:tc>
          <w:tcPr/>
          <w:p>
            <w:pPr>
              <w:pStyle w:val="Compact"/>
            </w:pPr>
            <w:r>
              <w:t xml:space="preserve">Text Data &amp; Data Scraping</w:t>
            </w:r>
          </w:p>
        </w:tc>
        <w:tc>
          <w:tcPr/>
          <w:p>
            <w:pPr>
              <w:pStyle w:val="Compact"/>
            </w:pPr>
          </w:p>
        </w:tc>
        <w:tc>
          <w:tcPr/>
          <w:p>
            <w:pPr>
              <w:pStyle w:val="Compact"/>
            </w:pPr>
          </w:p>
        </w:tc>
      </w:tr>
      <w:tr>
        <w:tc>
          <w:tcPr/>
          <w:p>
            <w:pPr>
              <w:pStyle w:val="Compact"/>
            </w:pPr>
          </w:p>
        </w:tc>
        <w:tc>
          <w:tcPr/>
          <w:p>
            <w:pPr>
              <w:pStyle w:val="Compact"/>
            </w:pPr>
            <w:r>
              <w:t xml:space="preserve">Statistical Models</w:t>
            </w:r>
          </w:p>
        </w:tc>
        <w:tc>
          <w:tcPr/>
          <w:p>
            <w:pPr>
              <w:pStyle w:val="Compact"/>
            </w:pPr>
          </w:p>
        </w:tc>
        <w:tc>
          <w:tcPr/>
          <w:p>
            <w:pPr>
              <w:pStyle w:val="Compact"/>
            </w:pPr>
          </w:p>
        </w:tc>
      </w:tr>
      <w:tr>
        <w:tc>
          <w:tcPr/>
          <w:p>
            <w:pPr>
              <w:pStyle w:val="Compact"/>
            </w:pPr>
          </w:p>
        </w:tc>
        <w:tc>
          <w:tcPr/>
          <w:p>
            <w:pPr>
              <w:pStyle w:val="Compact"/>
            </w:pPr>
            <w:r>
              <w:t xml:space="preserve">Missing Data</w:t>
            </w:r>
          </w:p>
        </w:tc>
        <w:tc>
          <w:tcPr/>
          <w:p>
            <w:pPr>
              <w:pStyle w:val="Compact"/>
            </w:pPr>
          </w:p>
        </w:tc>
        <w:tc>
          <w:tcPr/>
          <w:p>
            <w:pPr>
              <w:pStyle w:val="Compact"/>
            </w:pPr>
          </w:p>
        </w:tc>
      </w:tr>
      <w:tr>
        <w:tc>
          <w:tcPr/>
          <w:p>
            <w:pPr>
              <w:pStyle w:val="Compact"/>
            </w:pPr>
          </w:p>
        </w:tc>
        <w:tc>
          <w:tcPr/>
          <w:p>
            <w:pPr>
              <w:pStyle w:val="Compact"/>
            </w:pPr>
            <w:r>
              <w:t xml:space="preserve">Web Apps &amp; Visualization</w:t>
            </w:r>
          </w:p>
        </w:tc>
        <w:tc>
          <w:tcPr/>
          <w:p>
            <w:pPr>
              <w:pStyle w:val="Compact"/>
            </w:pPr>
            <w:r>
              <w:t xml:space="preserve">quarto, shiny</w:t>
            </w:r>
          </w:p>
        </w:tc>
        <w:tc>
          <w:tcPr/>
          <w:p>
            <w:pPr>
              <w:pStyle w:val="Compact"/>
            </w:pPr>
          </w:p>
        </w:tc>
      </w:tr>
      <w:tr>
        <w:tc>
          <w:tcPr/>
          <w:p>
            <w:pPr>
              <w:pStyle w:val="Compact"/>
            </w:pPr>
          </w:p>
        </w:tc>
        <w:tc>
          <w:tcPr/>
          <w:p>
            <w:pPr>
              <w:pStyle w:val="Compact"/>
            </w:pPr>
            <w:r>
              <w:t xml:space="preserve">Programming with AI</w:t>
            </w:r>
          </w:p>
        </w:tc>
        <w:tc>
          <w:tcPr/>
          <w:p>
            <w:pPr>
              <w:pStyle w:val="Compact"/>
            </w:pPr>
            <w:r>
              <w:t xml:space="preserve">Claude Code</w:t>
            </w:r>
          </w:p>
        </w:tc>
        <w:tc>
          <w:tcPr/>
          <w:p>
            <w:pPr>
              <w:pStyle w:val="Compact"/>
            </w:pPr>
          </w:p>
        </w:tc>
      </w:tr>
      <w:tr>
        <w:tc>
          <w:tcPr/>
          <w:p>
            <w:pPr>
              <w:pStyle w:val="Compact"/>
            </w:pPr>
          </w:p>
        </w:tc>
        <w:tc>
          <w:tcPr/>
          <w:p>
            <w:pPr>
              <w:pStyle w:val="Compact"/>
            </w:pPr>
            <w:r>
              <w:t xml:space="preserve">Local LLMs</w:t>
            </w:r>
          </w:p>
        </w:tc>
        <w:tc>
          <w:tcPr/>
          <w:p>
            <w:pPr>
              <w:pStyle w:val="Compact"/>
            </w:pPr>
          </w:p>
        </w:tc>
        <w:tc>
          <w:tcPr/>
          <w:p>
            <w:pPr>
              <w:pStyle w:val="Compact"/>
            </w:pPr>
          </w:p>
        </w:tc>
      </w:tr>
    </w:tbl>
    <w:bookmarkEnd w:id="23"/>
    <w:bookmarkEnd w:id="24"/>
    <w:bookmarkStart w:id="29" w:name="logistical-notes"/>
    <w:p>
      <w:pPr>
        <w:pStyle w:val="Heading2"/>
      </w:pPr>
      <w:r>
        <w:t xml:space="preserve">Logistical Notes</w:t>
      </w:r>
    </w:p>
    <w:p>
      <w:pPr>
        <w:pStyle w:val="FirstParagraph"/>
      </w:pPr>
      <w:r>
        <w:t xml:space="preserve">All content may be found linked from the course content pages. Readings and content are posted for the whole semester, so students may look ahead if they wish. Typically, each week has two class days: the first, a lecture, and the second, a workshop. Each workshop day typically has some computing tasks, reference reading or other material, and a data assignment.</w:t>
      </w:r>
    </w:p>
    <w:bookmarkStart w:id="25" w:name="what-to-expect"/>
    <w:p>
      <w:pPr>
        <w:pStyle w:val="Heading3"/>
      </w:pPr>
      <w:r>
        <w:t xml:space="preserve">What to expect</w:t>
      </w:r>
    </w:p>
    <w:p>
      <w:pPr>
        <w:pStyle w:val="FirstParagraph"/>
      </w:pPr>
      <w:r>
        <w:t xml:space="preserve">Each week of class is organized into a learning module. Each learning module covers a topic relevant to data wrangling, management, and visualization, and goes in three phases: lecture, workshop, and assignment.</w:t>
      </w:r>
    </w:p>
    <w:p>
      <w:pPr>
        <w:pStyle w:val="Compact"/>
        <w:numPr>
          <w:ilvl w:val="0"/>
          <w:numId w:val="1001"/>
        </w:numPr>
      </w:pPr>
      <w:r>
        <w:rPr>
          <w:b/>
          <w:bCs/>
        </w:rPr>
        <w:t xml:space="preserve">Lectures:</w:t>
      </w:r>
      <w:r>
        <w:t xml:space="preserve"> </w:t>
      </w:r>
      <w:r>
        <w:t xml:space="preserve">Each module’s material is first presented through lectures given Tuesday. Occasionally, there will be an at-home workshop to complete as well. You should start every week with these. Each week has companion readings and reference materials for those wishing to dive deeper.</w:t>
      </w:r>
    </w:p>
    <w:p>
      <w:pPr>
        <w:pStyle w:val="Compact"/>
        <w:numPr>
          <w:ilvl w:val="0"/>
          <w:numId w:val="1001"/>
        </w:numPr>
      </w:pPr>
      <w:r>
        <w:rPr>
          <w:b/>
          <w:bCs/>
        </w:rPr>
        <w:t xml:space="preserve">Workshops:</w:t>
      </w:r>
      <w:r>
        <w:t xml:space="preserve"> </w:t>
      </w:r>
      <w:r>
        <w:t xml:space="preserve">Each module’s material is then reinforced through a workshop in our Thursday class session.</w:t>
      </w:r>
    </w:p>
    <w:p>
      <w:pPr>
        <w:pStyle w:val="Compact"/>
        <w:numPr>
          <w:ilvl w:val="0"/>
          <w:numId w:val="1001"/>
        </w:numPr>
      </w:pPr>
      <w:r>
        <w:rPr>
          <w:b/>
          <w:bCs/>
        </w:rPr>
        <w:t xml:space="preserve">Assignment:</w:t>
      </w:r>
      <w:r>
        <w:t xml:space="preserve"> </w:t>
      </w:r>
      <w:r>
        <w:t xml:space="preserve">Each module concludes with an applied assignment (typically, a problem set, but occasionally something else - a practicum or project). The module’s assignment is due the week after the module in class, and we will go over solutions together the day it is due.</w:t>
      </w:r>
    </w:p>
    <w:bookmarkEnd w:id="25"/>
    <w:bookmarkStart w:id="27" w:name="workshops-live-class-sessions"/>
    <w:p>
      <w:pPr>
        <w:pStyle w:val="Heading3"/>
      </w:pPr>
      <w:r>
        <w:t xml:space="preserve">Workshops (Live Class Sessions)</w:t>
      </w:r>
    </w:p>
    <w:p>
      <w:pPr>
        <w:pStyle w:val="FirstParagraph"/>
      </w:pPr>
      <w:r>
        <w:t xml:space="preserve">During workshop sessions, we cover material in the following order:</w:t>
      </w:r>
    </w:p>
    <w:p>
      <w:pPr>
        <w:pStyle w:val="Compact"/>
        <w:numPr>
          <w:ilvl w:val="0"/>
          <w:numId w:val="1002"/>
        </w:numPr>
      </w:pPr>
      <w:r>
        <w:t xml:space="preserve">Go over solutions and material for the assignment due that week. Sometimes, this will primarily involve the professor covering solutions, but other times, it will involve students presenting their work on that week, as well. Be prepared to ask questions and talk about your assignments.</w:t>
      </w:r>
      <w:r>
        <w:rPr>
          <w:rStyle w:val="FootnoteReference"/>
        </w:rPr>
        <w:footnoteReference w:id="26"/>
      </w:r>
    </w:p>
    <w:p>
      <w:pPr>
        <w:pStyle w:val="Compact"/>
        <w:numPr>
          <w:ilvl w:val="0"/>
          <w:numId w:val="1002"/>
        </w:numPr>
      </w:pPr>
      <w:r>
        <w:t xml:space="preserve">Conduct hands-on coding sessions for material in the current week’s module.</w:t>
      </w:r>
    </w:p>
    <w:p>
      <w:pPr>
        <w:pStyle w:val="Compact"/>
        <w:numPr>
          <w:ilvl w:val="0"/>
          <w:numId w:val="1002"/>
        </w:numPr>
      </w:pPr>
      <w:r>
        <w:t xml:space="preserve">Allow for time to begin the assignment for the current week’s module, ask the professor questions, etc.</w:t>
      </w:r>
    </w:p>
    <w:bookmarkEnd w:id="27"/>
    <w:bookmarkStart w:id="28" w:name="X2f2eab4a3d69c048e424e195034abf4b86d1767"/>
    <w:p>
      <w:pPr>
        <w:pStyle w:val="Heading3"/>
      </w:pPr>
      <w:r>
        <w:t xml:space="preserve">Where to find materials and how to navigate the course</w:t>
      </w:r>
    </w:p>
    <w:p>
      <w:pPr>
        <w:pStyle w:val="FirstParagraph"/>
      </w:pPr>
      <w:r>
        <w:t xml:space="preserve">Each learning module can be accessed here, on the class website. We’ll use Blackboard for initial assignment submission before transferring to GitHub a few assignments in. All course materials may be found here, with the exception of some that contain proprietary or copyrighted material that must be kept behind a login.</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6">
    <w:p>
      <w:pPr>
        <w:pStyle w:val="FootnoteText"/>
      </w:pPr>
      <w:r>
        <w:rPr>
          <w:rStyle w:val="FootnoteReference"/>
        </w:rPr>
        <w:footnoteRef/>
      </w:r>
      <w:r>
        <w:t xml:space="preserve"> </w:t>
      </w:r>
      <w:r>
        <w:t xml:space="preserve">Note that means the cadence will feel odd at first: the assignment given during Thursday workshop week 1 is due during Thursday workshop week 2, and thus, we’ll go over the assignment given during week 1 during week 2 but</w:t>
      </w:r>
      <w:r>
        <w:t xml:space="preserve"> </w:t>
      </w:r>
      <w:r>
        <w:rPr>
          <w:i/>
          <w:iCs/>
        </w:rPr>
        <w:t xml:space="preserve">after</w:t>
      </w:r>
      <w:r>
        <w:t xml:space="preserve"> </w:t>
      </w:r>
      <w:r>
        <w:t xml:space="preserve">we’ve already had the week 2 lecture, etc. It’s done this way to make sure you always have a full week to work on the assignment.</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content/prelim.qmd" TargetMode="External" /><Relationship Type="http://schemas.openxmlformats.org/officeDocument/2006/relationships/hyperlink" Id="rId10" Target="content/week1.qmd" TargetMode="External" /><Relationship Type="http://schemas.openxmlformats.org/officeDocument/2006/relationships/hyperlink" Id="rId18" Target="content/week10.qmd" TargetMode="External" /><Relationship Type="http://schemas.openxmlformats.org/officeDocument/2006/relationships/hyperlink" Id="rId19" Target="content/week11.qmd" TargetMode="External" /><Relationship Type="http://schemas.openxmlformats.org/officeDocument/2006/relationships/hyperlink" Id="rId20" Target="content/week12.qmd" TargetMode="External" /><Relationship Type="http://schemas.openxmlformats.org/officeDocument/2006/relationships/hyperlink" Id="rId21" Target="content/week13.qmd" TargetMode="External" /><Relationship Type="http://schemas.openxmlformats.org/officeDocument/2006/relationships/hyperlink" Id="rId22" Target="content/week14.qmd" TargetMode="External" /><Relationship Type="http://schemas.openxmlformats.org/officeDocument/2006/relationships/hyperlink" Id="rId11" Target="content/week2.qmd" TargetMode="External" /><Relationship Type="http://schemas.openxmlformats.org/officeDocument/2006/relationships/hyperlink" Id="rId12" Target="content/week3.qmd" TargetMode="External" /><Relationship Type="http://schemas.openxmlformats.org/officeDocument/2006/relationships/hyperlink" Id="rId13" Target="content/week4.qmd" TargetMode="External" /><Relationship Type="http://schemas.openxmlformats.org/officeDocument/2006/relationships/hyperlink" Id="rId14" Target="content/week5.qmd" TargetMode="External" /><Relationship Type="http://schemas.openxmlformats.org/officeDocument/2006/relationships/hyperlink" Id="rId15" Target="content/week6.qmd" TargetMode="External" /><Relationship Type="http://schemas.openxmlformats.org/officeDocument/2006/relationships/hyperlink" Id="rId16" Target="content/week7.qmd" TargetMode="External" /><Relationship Type="http://schemas.openxmlformats.org/officeDocument/2006/relationships/hyperlink" Id="rId17" Target="content/week9.qmd" TargetMode="External" /></Relationships>
</file>

<file path=word/_rels/footnotes.xml.rels><?xml version="1.0" encoding="UTF-8"?><Relationships xmlns="http://schemas.openxmlformats.org/package/2006/relationships"><Relationship Type="http://schemas.openxmlformats.org/officeDocument/2006/relationships/hyperlink" Id="rId9" Target="content/prelim.qmd" TargetMode="External" /><Relationship Type="http://schemas.openxmlformats.org/officeDocument/2006/relationships/hyperlink" Id="rId10" Target="content/week1.qmd" TargetMode="External" /><Relationship Type="http://schemas.openxmlformats.org/officeDocument/2006/relationships/hyperlink" Id="rId18" Target="content/week10.qmd" TargetMode="External" /><Relationship Type="http://schemas.openxmlformats.org/officeDocument/2006/relationships/hyperlink" Id="rId19" Target="content/week11.qmd" TargetMode="External" /><Relationship Type="http://schemas.openxmlformats.org/officeDocument/2006/relationships/hyperlink" Id="rId20" Target="content/week12.qmd" TargetMode="External" /><Relationship Type="http://schemas.openxmlformats.org/officeDocument/2006/relationships/hyperlink" Id="rId21" Target="content/week13.qmd" TargetMode="External" /><Relationship Type="http://schemas.openxmlformats.org/officeDocument/2006/relationships/hyperlink" Id="rId22" Target="content/week14.qmd" TargetMode="External" /><Relationship Type="http://schemas.openxmlformats.org/officeDocument/2006/relationships/hyperlink" Id="rId11" Target="content/week2.qmd" TargetMode="External" /><Relationship Type="http://schemas.openxmlformats.org/officeDocument/2006/relationships/hyperlink" Id="rId12" Target="content/week3.qmd" TargetMode="External" /><Relationship Type="http://schemas.openxmlformats.org/officeDocument/2006/relationships/hyperlink" Id="rId13" Target="content/week4.qmd" TargetMode="External" /><Relationship Type="http://schemas.openxmlformats.org/officeDocument/2006/relationships/hyperlink" Id="rId14" Target="content/week5.qmd" TargetMode="External" /><Relationship Type="http://schemas.openxmlformats.org/officeDocument/2006/relationships/hyperlink" Id="rId15" Target="content/week6.qmd" TargetMode="External" /><Relationship Type="http://schemas.openxmlformats.org/officeDocument/2006/relationships/hyperlink" Id="rId16" Target="content/week7.qmd" TargetMode="External" /><Relationship Type="http://schemas.openxmlformats.org/officeDocument/2006/relationships/hyperlink" Id="rId17" Target="content/week9.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dc:title>
  <dc:creator/>
  <cp:keywords/>
  <dcterms:created xsi:type="dcterms:W3CDTF">2026-08-26T16:37:24Z</dcterms:created>
  <dcterms:modified xsi:type="dcterms:W3CDTF">2026-08-26T16:37:24Z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