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Exam Review Guide</w:t>
      </w:r>
    </w:p>
    <w:p>
      <w:pPr>
        <w:pStyle w:val="Subtitle"/>
      </w:pPr>
      <w:r>
        <w:t xml:space="preserve">Data Wrangling and Visualization</w:t>
      </w:r>
    </w:p>
    <w:p>
      <w:pPr>
        <w:pStyle w:val="Author"/>
      </w:pPr>
      <w:r>
        <w:t xml:space="preserve">Prof. Jack Reilly</w:t>
      </w:r>
    </w:p>
    <w:p>
      <w:pPr>
        <w:pStyle w:val="Date"/>
      </w:pPr>
      <w:r>
        <w:t xml:space="preserve">Fall 2026</w:t>
      </w:r>
    </w:p>
    <w:bookmarkStart w:id="25" w:name="midterm-exam-guidelines"/>
    <w:p>
      <w:pPr>
        <w:pStyle w:val="Heading2"/>
      </w:pPr>
      <w:r>
        <w:t xml:space="preserve">Midterm Exam Guidelines</w:t>
      </w:r>
    </w:p>
    <w:p>
      <w:pPr>
        <w:pStyle w:val="FirstParagraph"/>
      </w:pPr>
      <w:r>
        <w:t xml:space="preserve">There are two exams that take place around the mid-point of the semester: a pen-and-paper</w:t>
      </w:r>
      <w:r>
        <w:t xml:space="preserve"> </w:t>
      </w:r>
      <w:r>
        <w:rPr>
          <w:b/>
          <w:bCs/>
        </w:rPr>
        <w:t xml:space="preserve">core exam</w:t>
      </w:r>
      <w:r>
        <w:t xml:space="preserve"> </w:t>
      </w:r>
      <w:r>
        <w:t xml:space="preserve">and a computer based</w:t>
      </w:r>
      <w:r>
        <w:t xml:space="preserve"> </w:t>
      </w:r>
      <w:r>
        <w:rPr>
          <w:b/>
          <w:bCs/>
        </w:rPr>
        <w:t xml:space="preserve">practicum</w:t>
      </w:r>
      <w:r>
        <w:t xml:space="preserve"> </w:t>
      </w:r>
      <w:r>
        <w:t xml:space="preserve">exam.</w:t>
      </w:r>
      <w:r>
        <w:rPr>
          <w:rStyle w:val="FootnoteReference"/>
        </w:rPr>
        <w:footnoteReference w:id="9"/>
      </w:r>
    </w:p>
    <w:p>
      <w:pPr>
        <w:numPr>
          <w:ilvl w:val="0"/>
          <w:numId w:val="1001"/>
        </w:numPr>
      </w:pPr>
      <w:r>
        <w:t xml:space="preserve">On the</w:t>
      </w:r>
      <w:r>
        <w:t xml:space="preserve"> </w:t>
      </w:r>
      <w:r>
        <w:rPr>
          <w:b/>
          <w:bCs/>
        </w:rPr>
        <w:t xml:space="preserve">“core”</w:t>
      </w:r>
      <w:r>
        <w:rPr>
          <w:b/>
          <w:bCs/>
        </w:rPr>
        <w:t xml:space="preserve"> </w:t>
      </w:r>
      <w:r>
        <w:rPr>
          <w:b/>
          <w:bCs/>
        </w:rPr>
        <w:t xml:space="preserve">exam</w:t>
      </w:r>
      <w:r>
        <w:t xml:space="preserve">, you are permitted the full class time (although the exam will likely not take the whole time). You need to bring a pen and/or pencil. If you bring a pencil for scratch work, please make sure to also bring and write your answers in</w:t>
      </w:r>
      <w:r>
        <w:t xml:space="preserve"> </w:t>
      </w:r>
      <w:r>
        <w:rPr>
          <w:b/>
          <w:bCs/>
        </w:rPr>
        <w:t xml:space="preserve">pen</w:t>
      </w:r>
      <w:r>
        <w:t xml:space="preserve">, not pencil. You may also bring a</w:t>
      </w:r>
      <w:r>
        <w:t xml:space="preserve"> </w:t>
      </w:r>
      <w:r>
        <w:rPr>
          <w:b/>
          <w:bCs/>
        </w:rPr>
        <w:t xml:space="preserve">cheat sheet</w:t>
      </w:r>
      <w:r>
        <w:t xml:space="preserve"> </w:t>
      </w:r>
      <w:r>
        <w:t xml:space="preserve">— a single 8.5×11 sheet of paper with whatever you want written (or typed) on it.</w:t>
      </w:r>
    </w:p>
    <w:p>
      <w:pPr>
        <w:numPr>
          <w:ilvl w:val="0"/>
          <w:numId w:val="1001"/>
        </w:numPr>
      </w:pPr>
      <w:r>
        <w:t xml:space="preserve">On the</w:t>
      </w:r>
      <w:r>
        <w:t xml:space="preserve"> </w:t>
      </w:r>
      <w:r>
        <w:rPr>
          <w:b/>
          <w:bCs/>
        </w:rPr>
        <w:t xml:space="preserve">take-home</w:t>
      </w:r>
      <w:r>
        <w:rPr>
          <w:b/>
          <w:bCs/>
        </w:rPr>
        <w:t xml:space="preserve"> </w:t>
      </w:r>
      <w:r>
        <w:rPr>
          <w:b/>
          <w:bCs/>
        </w:rPr>
        <w:t xml:space="preserve">“practicum”</w:t>
      </w:r>
      <w:r>
        <w:rPr>
          <w:b/>
          <w:bCs/>
        </w:rPr>
        <w:t xml:space="preserve"> </w:t>
      </w:r>
      <w:r>
        <w:rPr>
          <w:b/>
          <w:bCs/>
        </w:rPr>
        <w:t xml:space="preserve">exams</w:t>
      </w:r>
      <w:r>
        <w:t xml:space="preserve">, you are permitted as much time as you like between when the exam is handed out and when it is due. The take-home</w:t>
      </w:r>
      <w:r>
        <w:t xml:space="preserve"> </w:t>
      </w:r>
      <w:r>
        <w:rPr>
          <w:b/>
          <w:bCs/>
        </w:rPr>
        <w:t xml:space="preserve">is open-book, open-note, and open-internet</w:t>
      </w:r>
      <w:r>
        <w:t xml:space="preserve">, but it</w:t>
      </w:r>
      <w:r>
        <w:t xml:space="preserve"> </w:t>
      </w:r>
      <w:r>
        <w:rPr>
          <w:b/>
          <w:bCs/>
        </w:rPr>
        <w:t xml:space="preserve">is not open-human</w:t>
      </w:r>
      <w:r>
        <w:t xml:space="preserve">. You</w:t>
      </w:r>
      <w:r>
        <w:t xml:space="preserve"> </w:t>
      </w:r>
      <w:r>
        <w:rPr>
          <w:i/>
          <w:iCs/>
        </w:rPr>
        <w:t xml:space="preserve">are</w:t>
      </w:r>
      <w:r>
        <w:t xml:space="preserve"> </w:t>
      </w:r>
      <w:r>
        <w:t xml:space="preserve">allowed to ask AI questions and use responses, but you must keep a record of what you ask and turn it in with your exam.</w:t>
      </w:r>
      <w:r>
        <w:t xml:space="preserve"> </w:t>
      </w:r>
      <w:r>
        <w:rPr>
          <w:b/>
          <w:bCs/>
        </w:rPr>
        <w:t xml:space="preserve">Do not ask AI to complete the test for you.</w:t>
      </w:r>
    </w:p>
    <w:p>
      <w:pPr>
        <w:numPr>
          <w:ilvl w:val="0"/>
          <w:numId w:val="1001"/>
        </w:numPr>
      </w:pPr>
      <w:r>
        <w:t xml:space="preserve">You can ask the professor questions.</w:t>
      </w:r>
    </w:p>
    <w:p>
      <w:pPr>
        <w:numPr>
          <w:ilvl w:val="0"/>
          <w:numId w:val="1001"/>
        </w:numPr>
      </w:pPr>
      <w:r>
        <w:t xml:space="preserve">On both tests, all material covered in the class, in reading, or in homework is fair game. The take-home will lean toward</w:t>
      </w:r>
      <w:r>
        <w:t xml:space="preserve"> </w:t>
      </w:r>
      <w:r>
        <w:rPr>
          <w:b/>
          <w:bCs/>
        </w:rPr>
        <w:t xml:space="preserve">computation</w:t>
      </w:r>
      <w:r>
        <w:t xml:space="preserve">, while the in-class portion will lean toward</w:t>
      </w:r>
      <w:r>
        <w:t xml:space="preserve"> </w:t>
      </w:r>
      <w:r>
        <w:rPr>
          <w:b/>
          <w:bCs/>
        </w:rPr>
        <w:t xml:space="preserve">conceptual questions</w:t>
      </w:r>
      <w:r>
        <w:t xml:space="preserve">.</w:t>
      </w:r>
    </w:p>
    <w:bookmarkStart w:id="10" w:name="core-themes-big-ideas"/>
    <w:p>
      <w:pPr>
        <w:pStyle w:val="Heading3"/>
      </w:pPr>
      <w:r>
        <w:t xml:space="preserve">Core Themes &amp; Big Ideas</w:t>
      </w:r>
    </w:p>
    <w:p>
      <w:pPr>
        <w:pStyle w:val="Compact"/>
        <w:numPr>
          <w:ilvl w:val="0"/>
          <w:numId w:val="1002"/>
        </w:numPr>
      </w:pPr>
      <w:r>
        <w:t xml:space="preserve">Reproducible research and workflows</w:t>
      </w:r>
      <w:r>
        <w:br/>
      </w:r>
    </w:p>
    <w:p>
      <w:pPr>
        <w:pStyle w:val="Compact"/>
        <w:numPr>
          <w:ilvl w:val="0"/>
          <w:numId w:val="1002"/>
        </w:numPr>
      </w:pPr>
      <w:r>
        <w:t xml:space="preserve">Open science and transparency</w:t>
      </w:r>
      <w:r>
        <w:br/>
      </w:r>
    </w:p>
    <w:p>
      <w:pPr>
        <w:pStyle w:val="Compact"/>
        <w:numPr>
          <w:ilvl w:val="0"/>
          <w:numId w:val="1002"/>
        </w:numPr>
      </w:pPr>
      <w:r>
        <w:t xml:space="preserve">Data provenance, lineage, and quality</w:t>
      </w:r>
      <w:r>
        <w:br/>
      </w:r>
    </w:p>
    <w:p>
      <w:pPr>
        <w:pStyle w:val="Compact"/>
        <w:numPr>
          <w:ilvl w:val="0"/>
          <w:numId w:val="1002"/>
        </w:numPr>
      </w:pPr>
      <w:r>
        <w:t xml:space="preserve">Tidy data vs. “messy” data</w:t>
      </w:r>
      <w:r>
        <w:br/>
      </w:r>
    </w:p>
    <w:p>
      <w:pPr>
        <w:pStyle w:val="Compact"/>
        <w:numPr>
          <w:ilvl w:val="0"/>
          <w:numId w:val="1002"/>
        </w:numPr>
      </w:pPr>
      <w:r>
        <w:t xml:space="preserve">Exploratory Data Analysis (EDA)</w:t>
      </w:r>
      <w:r>
        <w:br/>
      </w:r>
    </w:p>
    <w:p>
      <w:pPr>
        <w:pStyle w:val="Compact"/>
        <w:numPr>
          <w:ilvl w:val="0"/>
          <w:numId w:val="1002"/>
        </w:numPr>
      </w:pPr>
      <w:r>
        <w:t xml:space="preserve">“80% of work is data cleaning and wrangling”</w:t>
      </w:r>
      <w:r>
        <w:br/>
      </w:r>
    </w:p>
    <w:p>
      <w:pPr>
        <w:pStyle w:val="Compact"/>
        <w:numPr>
          <w:ilvl w:val="0"/>
          <w:numId w:val="1002"/>
        </w:numPr>
      </w:pPr>
      <w:r>
        <w:t xml:space="preserve">Code tradeoffs: correctness, efficiency, interpretability</w:t>
      </w:r>
    </w:p>
    <w:bookmarkEnd w:id="10"/>
    <w:bookmarkStart w:id="17" w:name="data-wrangling-management-concepts"/>
    <w:p>
      <w:pPr>
        <w:pStyle w:val="Heading3"/>
      </w:pPr>
      <w:r>
        <w:t xml:space="preserve">Data Wrangling &amp; Management Concepts</w:t>
      </w:r>
    </w:p>
    <w:bookmarkStart w:id="11" w:name="data-storage-file-types"/>
    <w:p>
      <w:pPr>
        <w:pStyle w:val="Heading4"/>
      </w:pPr>
      <w:r>
        <w:t xml:space="preserve">Data Storage &amp; File Types</w:t>
      </w:r>
    </w:p>
    <w:p>
      <w:pPr>
        <w:pStyle w:val="Compact"/>
        <w:numPr>
          <w:ilvl w:val="0"/>
          <w:numId w:val="1003"/>
        </w:numPr>
      </w:pPr>
      <w:r>
        <w:rPr>
          <w:b/>
          <w:bCs/>
        </w:rPr>
        <w:t xml:space="preserve">Open formats:</w:t>
      </w:r>
      <w:r>
        <w:t xml:space="preserve"> </w:t>
      </w:r>
      <w:r>
        <w:t xml:space="preserve">CSV, TSV, JSON</w:t>
      </w:r>
      <w:r>
        <w:br/>
      </w:r>
    </w:p>
    <w:p>
      <w:pPr>
        <w:pStyle w:val="Compact"/>
        <w:numPr>
          <w:ilvl w:val="0"/>
          <w:numId w:val="1003"/>
        </w:numPr>
      </w:pPr>
      <w:r>
        <w:rPr>
          <w:b/>
          <w:bCs/>
        </w:rPr>
        <w:t xml:space="preserve">Closed formats:</w:t>
      </w:r>
      <w:r>
        <w:t xml:space="preserve"> </w:t>
      </w:r>
      <w:r>
        <w:t xml:space="preserve">Stata, SPSS, SAS, etc.</w:t>
      </w:r>
    </w:p>
    <w:bookmarkEnd w:id="11"/>
    <w:bookmarkStart w:id="12" w:name="data-types"/>
    <w:p>
      <w:pPr>
        <w:pStyle w:val="Heading4"/>
      </w:pPr>
      <w:r>
        <w:t xml:space="preserve">Data Types</w:t>
      </w:r>
    </w:p>
    <w:p>
      <w:pPr>
        <w:pStyle w:val="Compact"/>
        <w:numPr>
          <w:ilvl w:val="0"/>
          <w:numId w:val="1004"/>
        </w:numPr>
      </w:pPr>
      <w:r>
        <w:t xml:space="preserve">Boolean (T/F)</w:t>
      </w:r>
      <w:r>
        <w:br/>
      </w:r>
    </w:p>
    <w:p>
      <w:pPr>
        <w:pStyle w:val="Compact"/>
        <w:numPr>
          <w:ilvl w:val="0"/>
          <w:numId w:val="1004"/>
        </w:numPr>
      </w:pPr>
      <w:r>
        <w:t xml:space="preserve">Numerical (integers, doubles, etc.)</w:t>
      </w:r>
      <w:r>
        <w:br/>
      </w:r>
    </w:p>
    <w:p>
      <w:pPr>
        <w:pStyle w:val="Compact"/>
        <w:numPr>
          <w:ilvl w:val="0"/>
          <w:numId w:val="1004"/>
        </w:numPr>
      </w:pPr>
      <w:r>
        <w:t xml:space="preserve">String</w:t>
      </w:r>
    </w:p>
    <w:bookmarkEnd w:id="12"/>
    <w:bookmarkStart w:id="13" w:name="data-cleaning"/>
    <w:p>
      <w:pPr>
        <w:pStyle w:val="Heading4"/>
      </w:pPr>
      <w:r>
        <w:t xml:space="preserve">Data Cleaning</w:t>
      </w:r>
    </w:p>
    <w:p>
      <w:pPr>
        <w:pStyle w:val="Compact"/>
        <w:numPr>
          <w:ilvl w:val="0"/>
          <w:numId w:val="1005"/>
        </w:numPr>
      </w:pPr>
      <w:r>
        <w:t xml:space="preserve">Missing data (</w:t>
      </w:r>
      <w:r>
        <w:rPr>
          <w:rStyle w:val="VerbatimChar"/>
        </w:rPr>
        <w:t xml:space="preserve">NA</w:t>
      </w:r>
      <w:r>
        <w:t xml:space="preserve"> </w:t>
      </w:r>
      <w:r>
        <w:t xml:space="preserve">/ nulls)</w:t>
      </w:r>
      <w:r>
        <w:br/>
      </w:r>
    </w:p>
    <w:p>
      <w:pPr>
        <w:pStyle w:val="Compact"/>
        <w:numPr>
          <w:ilvl w:val="0"/>
          <w:numId w:val="1005"/>
        </w:numPr>
      </w:pPr>
      <w:r>
        <w:t xml:space="preserve">Outliers</w:t>
      </w:r>
      <w:r>
        <w:br/>
      </w:r>
    </w:p>
    <w:p>
      <w:pPr>
        <w:pStyle w:val="Compact"/>
        <w:numPr>
          <w:ilvl w:val="0"/>
          <w:numId w:val="1005"/>
        </w:numPr>
      </w:pPr>
      <w:r>
        <w:t xml:space="preserve">Inconsistent formatting (dates, strings, units)</w:t>
      </w:r>
    </w:p>
    <w:bookmarkEnd w:id="13"/>
    <w:bookmarkStart w:id="14" w:name="data-transformation"/>
    <w:p>
      <w:pPr>
        <w:pStyle w:val="Heading4"/>
      </w:pPr>
      <w:r>
        <w:t xml:space="preserve">Data Transformation</w:t>
      </w:r>
    </w:p>
    <w:p>
      <w:pPr>
        <w:pStyle w:val="Compact"/>
        <w:numPr>
          <w:ilvl w:val="0"/>
          <w:numId w:val="1006"/>
        </w:numPr>
      </w:pPr>
      <w:r>
        <w:t xml:space="preserve">Recoding values</w:t>
      </w:r>
      <w:r>
        <w:br/>
      </w:r>
    </w:p>
    <w:p>
      <w:pPr>
        <w:pStyle w:val="Compact"/>
        <w:numPr>
          <w:ilvl w:val="0"/>
          <w:numId w:val="1006"/>
        </w:numPr>
      </w:pPr>
      <w:r>
        <w:t xml:space="preserve">Binning variables</w:t>
      </w:r>
      <w:r>
        <w:br/>
      </w:r>
    </w:p>
    <w:p>
      <w:pPr>
        <w:pStyle w:val="Compact"/>
        <w:numPr>
          <w:ilvl w:val="0"/>
          <w:numId w:val="1006"/>
        </w:numPr>
      </w:pPr>
      <w:r>
        <w:t xml:space="preserve">Filtering &amp; subsetting data</w:t>
      </w:r>
      <w:r>
        <w:br/>
      </w:r>
    </w:p>
    <w:p>
      <w:pPr>
        <w:pStyle w:val="Compact"/>
        <w:numPr>
          <w:ilvl w:val="0"/>
          <w:numId w:val="1006"/>
        </w:numPr>
      </w:pPr>
      <w:r>
        <w:t xml:space="preserve">Append / concatenate / stacking (row-binding)</w:t>
      </w:r>
    </w:p>
    <w:bookmarkEnd w:id="14"/>
    <w:bookmarkStart w:id="15" w:name="merging-data"/>
    <w:p>
      <w:pPr>
        <w:pStyle w:val="Heading4"/>
      </w:pPr>
      <w:r>
        <w:t xml:space="preserve">Merging Data</w:t>
      </w:r>
    </w:p>
    <w:p>
      <w:pPr>
        <w:pStyle w:val="Compact"/>
        <w:numPr>
          <w:ilvl w:val="0"/>
          <w:numId w:val="1007"/>
        </w:numPr>
      </w:pPr>
      <w:r>
        <w:t xml:space="preserve">Merges &amp; joins</w:t>
      </w:r>
    </w:p>
    <w:p>
      <w:pPr>
        <w:pStyle w:val="Compact"/>
        <w:numPr>
          <w:ilvl w:val="1"/>
          <w:numId w:val="1008"/>
        </w:numPr>
      </w:pPr>
      <w:r>
        <w:t xml:space="preserve">Inner join</w:t>
      </w:r>
      <w:r>
        <w:br/>
      </w:r>
    </w:p>
    <w:p>
      <w:pPr>
        <w:pStyle w:val="Compact"/>
        <w:numPr>
          <w:ilvl w:val="1"/>
          <w:numId w:val="1008"/>
        </w:numPr>
      </w:pPr>
      <w:r>
        <w:t xml:space="preserve">Left join</w:t>
      </w:r>
      <w:r>
        <w:br/>
      </w:r>
    </w:p>
    <w:p>
      <w:pPr>
        <w:pStyle w:val="Compact"/>
        <w:numPr>
          <w:ilvl w:val="1"/>
          <w:numId w:val="1008"/>
        </w:numPr>
      </w:pPr>
      <w:r>
        <w:t xml:space="preserve">Right join</w:t>
      </w:r>
      <w:r>
        <w:br/>
      </w:r>
    </w:p>
    <w:p>
      <w:pPr>
        <w:pStyle w:val="Compact"/>
        <w:numPr>
          <w:ilvl w:val="1"/>
          <w:numId w:val="1008"/>
        </w:numPr>
      </w:pPr>
      <w:r>
        <w:t xml:space="preserve">Full outer join</w:t>
      </w:r>
    </w:p>
    <w:bookmarkEnd w:id="15"/>
    <w:bookmarkStart w:id="16" w:name="aggregation-structure"/>
    <w:p>
      <w:pPr>
        <w:pStyle w:val="Heading4"/>
      </w:pPr>
      <w:r>
        <w:t xml:space="preserve">Aggregation &amp; Structure</w:t>
      </w:r>
    </w:p>
    <w:p>
      <w:pPr>
        <w:pStyle w:val="Compact"/>
        <w:numPr>
          <w:ilvl w:val="0"/>
          <w:numId w:val="1009"/>
        </w:numPr>
      </w:pPr>
      <w:r>
        <w:t xml:space="preserve">Collapsing / aggregation / grouping / summarization</w:t>
      </w:r>
      <w:r>
        <w:br/>
      </w:r>
    </w:p>
    <w:p>
      <w:pPr>
        <w:pStyle w:val="Compact"/>
        <w:numPr>
          <w:ilvl w:val="0"/>
          <w:numId w:val="1009"/>
        </w:numPr>
      </w:pPr>
      <w:r>
        <w:t xml:space="preserve">Reshaping data: wide vs. long formats</w:t>
      </w:r>
      <w:r>
        <w:br/>
      </w:r>
    </w:p>
    <w:p>
      <w:pPr>
        <w:pStyle w:val="Compact"/>
        <w:numPr>
          <w:ilvl w:val="0"/>
          <w:numId w:val="1009"/>
        </w:numPr>
      </w:pPr>
      <w:r>
        <w:t xml:space="preserve">Survey weighting</w:t>
      </w:r>
    </w:p>
    <w:bookmarkEnd w:id="16"/>
    <w:bookmarkEnd w:id="17"/>
    <w:bookmarkStart w:id="18" w:name="tools-languages-work-environments"/>
    <w:p>
      <w:pPr>
        <w:pStyle w:val="Heading3"/>
      </w:pPr>
      <w:r>
        <w:t xml:space="preserve">Tools, Languages, &amp; Work Environments</w:t>
      </w:r>
    </w:p>
    <w:p>
      <w:pPr>
        <w:pStyle w:val="Compact"/>
        <w:numPr>
          <w:ilvl w:val="0"/>
          <w:numId w:val="1010"/>
        </w:numPr>
      </w:pPr>
      <w:r>
        <w:t xml:space="preserve">R and RStudio</w:t>
      </w:r>
      <w:r>
        <w:br/>
      </w:r>
    </w:p>
    <w:p>
      <w:pPr>
        <w:pStyle w:val="Compact"/>
        <w:numPr>
          <w:ilvl w:val="0"/>
          <w:numId w:val="1010"/>
        </w:numPr>
      </w:pPr>
      <w:r>
        <w:t xml:space="preserve">Base R tools</w:t>
      </w:r>
      <w:r>
        <w:br/>
      </w:r>
    </w:p>
    <w:p>
      <w:pPr>
        <w:pStyle w:val="Compact"/>
        <w:numPr>
          <w:ilvl w:val="0"/>
          <w:numId w:val="1010"/>
        </w:numPr>
      </w:pPr>
      <w:r>
        <w:t xml:space="preserve">Tidyverse (</w:t>
      </w:r>
      <w:r>
        <w:rPr>
          <w:rStyle w:val="VerbatimChar"/>
        </w:rPr>
        <w:t xml:space="preserve">dplyr</w:t>
      </w:r>
      <w:r>
        <w:t xml:space="preserve">,</w:t>
      </w:r>
      <w:r>
        <w:t xml:space="preserve"> </w:t>
      </w:r>
      <w:r>
        <w:rPr>
          <w:rStyle w:val="VerbatimChar"/>
        </w:rPr>
        <w:t xml:space="preserve">tidyr</w:t>
      </w:r>
      <w:r>
        <w:t xml:space="preserve">,</w:t>
      </w:r>
      <w:r>
        <w:t xml:space="preserve"> </w:t>
      </w:r>
      <w:r>
        <w:rPr>
          <w:rStyle w:val="VerbatimChar"/>
        </w:rPr>
        <w:t xml:space="preserve">ggplot2</w:t>
      </w:r>
      <w:r>
        <w:t xml:space="preserve">, etc.)</w:t>
      </w:r>
      <w:r>
        <w:br/>
      </w:r>
    </w:p>
    <w:p>
      <w:pPr>
        <w:pStyle w:val="Compact"/>
        <w:numPr>
          <w:ilvl w:val="0"/>
          <w:numId w:val="1010"/>
        </w:numPr>
      </w:pPr>
      <w:r>
        <w:t xml:space="preserve">Markdown, R Markdown, Quarto</w:t>
      </w:r>
      <w:r>
        <w:br/>
      </w:r>
    </w:p>
    <w:p>
      <w:pPr>
        <w:pStyle w:val="Compact"/>
        <w:numPr>
          <w:ilvl w:val="0"/>
          <w:numId w:val="1010"/>
        </w:numPr>
      </w:pPr>
      <w:r>
        <w:rPr>
          <w:rStyle w:val="VerbatimChar"/>
        </w:rPr>
        <w:t xml:space="preserve">git</w:t>
      </w:r>
      <w:r>
        <w:t xml:space="preserve"> </w:t>
      </w:r>
      <w:r>
        <w:t xml:space="preserve">/ GitHub (version control, branches, pushes)</w:t>
      </w:r>
      <w:r>
        <w:br/>
      </w:r>
    </w:p>
    <w:p>
      <w:pPr>
        <w:pStyle w:val="Compact"/>
        <w:numPr>
          <w:ilvl w:val="0"/>
          <w:numId w:val="1010"/>
        </w:numPr>
      </w:pPr>
      <w:r>
        <w:t xml:space="preserve">Scripting &amp; code organization</w:t>
      </w:r>
      <w:r>
        <w:br/>
      </w:r>
    </w:p>
    <w:p>
      <w:pPr>
        <w:pStyle w:val="Compact"/>
        <w:numPr>
          <w:ilvl w:val="0"/>
          <w:numId w:val="1010"/>
        </w:numPr>
      </w:pPr>
      <w:r>
        <w:t xml:space="preserve">File management &amp; organization</w:t>
      </w:r>
      <w:r>
        <w:br/>
      </w:r>
    </w:p>
    <w:p>
      <w:pPr>
        <w:pStyle w:val="Compact"/>
        <w:numPr>
          <w:ilvl w:val="0"/>
          <w:numId w:val="1010"/>
        </w:numPr>
      </w:pPr>
      <w:r>
        <w:t xml:space="preserve">Notebooks (Quarto Notebooks, R Markdown)</w:t>
      </w:r>
    </w:p>
    <w:bookmarkEnd w:id="18"/>
    <w:bookmarkStart w:id="23" w:name="visualization-concepts-design-principles"/>
    <w:p>
      <w:pPr>
        <w:pStyle w:val="Heading3"/>
      </w:pPr>
      <w:r>
        <w:t xml:space="preserve">Visualization Concepts &amp; Design Principles</w:t>
      </w:r>
    </w:p>
    <w:p>
      <w:pPr>
        <w:pStyle w:val="Compact"/>
        <w:numPr>
          <w:ilvl w:val="0"/>
          <w:numId w:val="1011"/>
        </w:numPr>
      </w:pPr>
      <w:r>
        <w:t xml:space="preserve">Options for contrast: position, length, color, size, shape, angle</w:t>
      </w:r>
      <w:r>
        <w:br/>
      </w:r>
    </w:p>
    <w:p>
      <w:pPr>
        <w:pStyle w:val="Compact"/>
        <w:numPr>
          <w:ilvl w:val="0"/>
          <w:numId w:val="1011"/>
        </w:numPr>
      </w:pPr>
      <w:r>
        <w:t xml:space="preserve">Human visual perception capabilities</w:t>
      </w:r>
      <w:r>
        <w:br/>
      </w:r>
    </w:p>
    <w:p>
      <w:pPr>
        <w:pStyle w:val="Compact"/>
        <w:numPr>
          <w:ilvl w:val="0"/>
          <w:numId w:val="1011"/>
        </w:numPr>
      </w:pPr>
      <w:r>
        <w:t xml:space="preserve">Data-ink ratio</w:t>
      </w:r>
      <w:r>
        <w:br/>
      </w:r>
    </w:p>
    <w:p>
      <w:pPr>
        <w:pStyle w:val="Compact"/>
        <w:numPr>
          <w:ilvl w:val="0"/>
          <w:numId w:val="1011"/>
        </w:numPr>
      </w:pPr>
      <w:r>
        <w:t xml:space="preserve">“Chartjunk”</w:t>
      </w:r>
      <w:r>
        <w:br/>
      </w:r>
    </w:p>
    <w:p>
      <w:pPr>
        <w:pStyle w:val="Compact"/>
        <w:numPr>
          <w:ilvl w:val="0"/>
          <w:numId w:val="1011"/>
        </w:numPr>
      </w:pPr>
      <w:r>
        <w:t xml:space="preserve">Where good graphics go bad: aesthetics, data, perception</w:t>
      </w:r>
    </w:p>
    <w:bookmarkStart w:id="21" w:name="common-graph-types"/>
    <w:p>
      <w:pPr>
        <w:pStyle w:val="Heading4"/>
      </w:pPr>
      <w:r>
        <w:t xml:space="preserve">Common Graph Types</w:t>
      </w:r>
    </w:p>
    <w:bookmarkStart w:id="19" w:name="univariate"/>
    <w:p>
      <w:pPr>
        <w:pStyle w:val="Heading5"/>
      </w:pPr>
      <w:r>
        <w:t xml:space="preserve">Univariate</w:t>
      </w:r>
    </w:p>
    <w:p>
      <w:pPr>
        <w:pStyle w:val="Compact"/>
        <w:numPr>
          <w:ilvl w:val="0"/>
          <w:numId w:val="1012"/>
        </w:numPr>
      </w:pPr>
      <w:r>
        <w:t xml:space="preserve">Histogram</w:t>
      </w:r>
      <w:r>
        <w:br/>
      </w:r>
    </w:p>
    <w:p>
      <w:pPr>
        <w:pStyle w:val="Compact"/>
        <w:numPr>
          <w:ilvl w:val="0"/>
          <w:numId w:val="1012"/>
        </w:numPr>
      </w:pPr>
      <w:r>
        <w:t xml:space="preserve">Density plot</w:t>
      </w:r>
      <w:r>
        <w:br/>
      </w:r>
    </w:p>
    <w:p>
      <w:pPr>
        <w:pStyle w:val="Compact"/>
        <w:numPr>
          <w:ilvl w:val="0"/>
          <w:numId w:val="1012"/>
        </w:numPr>
      </w:pPr>
      <w:r>
        <w:t xml:space="preserve">Bar chart</w:t>
      </w:r>
      <w:r>
        <w:br/>
      </w:r>
    </w:p>
    <w:p>
      <w:pPr>
        <w:pStyle w:val="Compact"/>
        <w:numPr>
          <w:ilvl w:val="0"/>
          <w:numId w:val="1012"/>
        </w:numPr>
      </w:pPr>
      <w:r>
        <w:t xml:space="preserve">Line graph</w:t>
      </w:r>
      <w:r>
        <w:br/>
      </w:r>
    </w:p>
    <w:p>
      <w:pPr>
        <w:pStyle w:val="Compact"/>
        <w:numPr>
          <w:ilvl w:val="0"/>
          <w:numId w:val="1012"/>
        </w:numPr>
      </w:pPr>
      <w:r>
        <w:t xml:space="preserve">Dot plot</w:t>
      </w:r>
      <w:r>
        <w:br/>
      </w:r>
    </w:p>
    <w:p>
      <w:pPr>
        <w:pStyle w:val="Compact"/>
        <w:numPr>
          <w:ilvl w:val="0"/>
          <w:numId w:val="1012"/>
        </w:numPr>
      </w:pPr>
      <w:r>
        <w:t xml:space="preserve">Boxplot</w:t>
      </w:r>
      <w:r>
        <w:br/>
      </w:r>
    </w:p>
    <w:p>
      <w:pPr>
        <w:pStyle w:val="Compact"/>
        <w:numPr>
          <w:ilvl w:val="0"/>
          <w:numId w:val="1012"/>
        </w:numPr>
      </w:pPr>
      <w:r>
        <w:t xml:space="preserve">Violin plot</w:t>
      </w:r>
    </w:p>
    <w:bookmarkEnd w:id="19"/>
    <w:bookmarkStart w:id="20" w:name="bivariate"/>
    <w:p>
      <w:pPr>
        <w:pStyle w:val="Heading5"/>
      </w:pPr>
      <w:r>
        <w:t xml:space="preserve">Bivariate</w:t>
      </w:r>
    </w:p>
    <w:p>
      <w:pPr>
        <w:pStyle w:val="Compact"/>
        <w:numPr>
          <w:ilvl w:val="0"/>
          <w:numId w:val="1013"/>
        </w:numPr>
      </w:pPr>
      <w:r>
        <w:t xml:space="preserve">Scatterplots</w:t>
      </w:r>
      <w:r>
        <w:br/>
      </w:r>
    </w:p>
    <w:p>
      <w:pPr>
        <w:pStyle w:val="Compact"/>
        <w:numPr>
          <w:ilvl w:val="0"/>
          <w:numId w:val="1013"/>
        </w:numPr>
      </w:pPr>
      <w:r>
        <w:t xml:space="preserve">Sliced scatterplots</w:t>
      </w:r>
    </w:p>
    <w:bookmarkEnd w:id="20"/>
    <w:bookmarkEnd w:id="21"/>
    <w:bookmarkStart w:id="22" w:name="visualization-design"/>
    <w:p>
      <w:pPr>
        <w:pStyle w:val="Heading4"/>
      </w:pPr>
      <w:r>
        <w:t xml:space="preserve">Visualization Design</w:t>
      </w:r>
    </w:p>
    <w:p>
      <w:pPr>
        <w:pStyle w:val="Compact"/>
        <w:numPr>
          <w:ilvl w:val="0"/>
          <w:numId w:val="1014"/>
        </w:numPr>
      </w:pPr>
      <w:r>
        <w:t xml:space="preserve">Axis design: labels, ticks, breaks</w:t>
      </w:r>
      <w:r>
        <w:br/>
      </w:r>
    </w:p>
    <w:p>
      <w:pPr>
        <w:pStyle w:val="Compact"/>
        <w:numPr>
          <w:ilvl w:val="0"/>
          <w:numId w:val="1014"/>
        </w:numPr>
      </w:pPr>
      <w:r>
        <w:t xml:space="preserve">Overplotting, transparency, jittering</w:t>
      </w:r>
      <w:r>
        <w:br/>
      </w:r>
    </w:p>
    <w:p>
      <w:pPr>
        <w:pStyle w:val="Compact"/>
        <w:numPr>
          <w:ilvl w:val="0"/>
          <w:numId w:val="1014"/>
        </w:numPr>
      </w:pPr>
      <w:r>
        <w:t xml:space="preserve">Visual hierarchy &amp; emphasis</w:t>
      </w:r>
      <w:r>
        <w:br/>
      </w:r>
    </w:p>
    <w:p>
      <w:pPr>
        <w:pStyle w:val="Compact"/>
        <w:numPr>
          <w:ilvl w:val="0"/>
          <w:numId w:val="1014"/>
        </w:numPr>
      </w:pPr>
      <w:r>
        <w:t xml:space="preserve">Avoiding misrepresentation / misleading visuals</w:t>
      </w:r>
      <w:r>
        <w:br/>
      </w:r>
    </w:p>
    <w:p>
      <w:pPr>
        <w:pStyle w:val="Compact"/>
        <w:numPr>
          <w:ilvl w:val="0"/>
          <w:numId w:val="1014"/>
        </w:numPr>
      </w:pPr>
      <w:r>
        <w:t xml:space="preserve">Evaluation and critique of visualizations</w:t>
      </w:r>
    </w:p>
    <w:bookmarkEnd w:id="22"/>
    <w:bookmarkEnd w:id="23"/>
    <w:bookmarkStart w:id="24" w:name="workflow-best-practices"/>
    <w:p>
      <w:pPr>
        <w:pStyle w:val="Heading3"/>
      </w:pPr>
      <w:r>
        <w:t xml:space="preserve">Workflow &amp; Best Practices</w:t>
      </w:r>
    </w:p>
    <w:p>
      <w:pPr>
        <w:pStyle w:val="Compact"/>
        <w:numPr>
          <w:ilvl w:val="0"/>
          <w:numId w:val="1015"/>
        </w:numPr>
      </w:pPr>
      <w:r>
        <w:t xml:space="preserve">Modular, readable code</w:t>
      </w:r>
      <w:r>
        <w:br/>
      </w:r>
    </w:p>
    <w:p>
      <w:pPr>
        <w:pStyle w:val="Compact"/>
        <w:numPr>
          <w:ilvl w:val="0"/>
          <w:numId w:val="1015"/>
        </w:numPr>
      </w:pPr>
      <w:r>
        <w:t xml:space="preserve">Documenting code with comments</w:t>
      </w:r>
      <w:r>
        <w:br/>
      </w:r>
    </w:p>
    <w:p>
      <w:pPr>
        <w:pStyle w:val="Compact"/>
        <w:numPr>
          <w:ilvl w:val="0"/>
          <w:numId w:val="1015"/>
        </w:numPr>
      </w:pPr>
      <w:r>
        <w:t xml:space="preserve">Version control and clear commit messages</w:t>
      </w:r>
      <w:r>
        <w:br/>
      </w:r>
    </w:p>
    <w:p>
      <w:pPr>
        <w:pStyle w:val="Compact"/>
        <w:numPr>
          <w:ilvl w:val="0"/>
          <w:numId w:val="1015"/>
        </w:numPr>
      </w:pPr>
      <w:r>
        <w:t xml:space="preserve">Reproducibility: full pipeline from raw data to outputs</w:t>
      </w:r>
      <w:r>
        <w:br/>
      </w:r>
    </w:p>
    <w:p>
      <w:pPr>
        <w:pStyle w:val="Compact"/>
        <w:numPr>
          <w:ilvl w:val="0"/>
          <w:numId w:val="1015"/>
        </w:numPr>
      </w:pPr>
      <w:r>
        <w:t xml:space="preserve">Collaboration and shared workflows</w:t>
      </w:r>
    </w:p>
    <w:bookmarkEnd w:id="24"/>
    <w:bookmarkEnd w:id="25"/>
    <w:bookmarkStart w:id="34" w:name="final-exam-guidelines"/>
    <w:p>
      <w:pPr>
        <w:pStyle w:val="Heading2"/>
      </w:pPr>
      <w:r>
        <w:t xml:space="preserve">Final Exam Guidelines</w:t>
      </w:r>
    </w:p>
    <w:p>
      <w:pPr>
        <w:pStyle w:val="FirstParagraph"/>
      </w:pPr>
      <w:r>
        <w:t xml:space="preserve">In addition to the final project, there is a practicum at the end of the semester.</w:t>
      </w:r>
      <w:r>
        <w:rPr>
          <w:rStyle w:val="FootnoteReference"/>
        </w:rPr>
        <w:footnoteReference w:id="26"/>
      </w:r>
      <w:r>
        <w:t xml:space="preserve"> </w:t>
      </w:r>
      <w:r>
        <w:t xml:space="preserve">The structure for this practicum is the same as the first, and all material is cumulative. You will need to know how to work with all of the above concepts, and may also need some of the following.</w:t>
      </w:r>
    </w:p>
    <w:bookmarkStart w:id="27" w:name="data-workflow"/>
    <w:p>
      <w:pPr>
        <w:pStyle w:val="Heading3"/>
      </w:pPr>
      <w:r>
        <w:t xml:space="preserve">Data Workflow</w:t>
      </w:r>
    </w:p>
    <w:p>
      <w:pPr>
        <w:pStyle w:val="Compact"/>
        <w:numPr>
          <w:ilvl w:val="0"/>
          <w:numId w:val="1016"/>
        </w:numPr>
      </w:pPr>
      <w:r>
        <w:t xml:space="preserve">Code for portability</w:t>
      </w:r>
    </w:p>
    <w:p>
      <w:pPr>
        <w:pStyle w:val="Compact"/>
        <w:numPr>
          <w:ilvl w:val="1"/>
          <w:numId w:val="1017"/>
        </w:numPr>
      </w:pPr>
      <w:r>
        <w:t xml:space="preserve">Projects</w:t>
      </w:r>
    </w:p>
    <w:p>
      <w:pPr>
        <w:pStyle w:val="Compact"/>
        <w:numPr>
          <w:ilvl w:val="1"/>
          <w:numId w:val="1017"/>
        </w:numPr>
      </w:pPr>
      <w:r>
        <w:t xml:space="preserve">renv</w:t>
      </w:r>
    </w:p>
    <w:p>
      <w:pPr>
        <w:pStyle w:val="Compact"/>
        <w:numPr>
          <w:ilvl w:val="1"/>
          <w:numId w:val="1017"/>
        </w:numPr>
      </w:pPr>
      <w:r>
        <w:t xml:space="preserve">environment control</w:t>
      </w:r>
    </w:p>
    <w:p>
      <w:pPr>
        <w:pStyle w:val="Compact"/>
        <w:numPr>
          <w:ilvl w:val="0"/>
          <w:numId w:val="1016"/>
        </w:numPr>
      </w:pPr>
      <w:r>
        <w:t xml:space="preserve">Flow control</w:t>
      </w:r>
    </w:p>
    <w:p>
      <w:pPr>
        <w:pStyle w:val="Compact"/>
        <w:numPr>
          <w:ilvl w:val="1"/>
          <w:numId w:val="1018"/>
        </w:numPr>
      </w:pPr>
      <w:r>
        <w:t xml:space="preserve">loops (for and while)</w:t>
      </w:r>
    </w:p>
    <w:p>
      <w:pPr>
        <w:pStyle w:val="Compact"/>
        <w:numPr>
          <w:ilvl w:val="1"/>
          <w:numId w:val="1018"/>
        </w:numPr>
      </w:pPr>
      <w:r>
        <w:t xml:space="preserve">lists</w:t>
      </w:r>
    </w:p>
    <w:p>
      <w:pPr>
        <w:pStyle w:val="Compact"/>
        <w:numPr>
          <w:ilvl w:val="1"/>
          <w:numId w:val="1018"/>
        </w:numPr>
      </w:pPr>
      <w:r>
        <w:t xml:space="preserve">calling other scripts from your script</w:t>
      </w:r>
    </w:p>
    <w:p>
      <w:pPr>
        <w:pStyle w:val="Compact"/>
        <w:numPr>
          <w:ilvl w:val="0"/>
          <w:numId w:val="1016"/>
        </w:numPr>
      </w:pPr>
      <w:r>
        <w:t xml:space="preserve">Accessing remote data</w:t>
      </w:r>
    </w:p>
    <w:p>
      <w:pPr>
        <w:pStyle w:val="Compact"/>
        <w:numPr>
          <w:ilvl w:val="0"/>
          <w:numId w:val="1016"/>
        </w:numPr>
      </w:pPr>
      <w:r>
        <w:t xml:space="preserve">Data API calls (ie, census)</w:t>
      </w:r>
    </w:p>
    <w:bookmarkEnd w:id="27"/>
    <w:bookmarkStart w:id="30" w:name="network-data"/>
    <w:p>
      <w:pPr>
        <w:pStyle w:val="Heading3"/>
      </w:pPr>
      <w:r>
        <w:t xml:space="preserve">Network Data</w:t>
      </w:r>
    </w:p>
    <w:bookmarkStart w:id="28" w:name="describing-networks"/>
    <w:p>
      <w:pPr>
        <w:pStyle w:val="Heading4"/>
      </w:pPr>
      <w:r>
        <w:t xml:space="preserve">Describing Networks</w:t>
      </w:r>
    </w:p>
    <w:p>
      <w:pPr>
        <w:pStyle w:val="Compact"/>
        <w:numPr>
          <w:ilvl w:val="0"/>
          <w:numId w:val="1019"/>
        </w:numPr>
      </w:pPr>
      <w:r>
        <w:t xml:space="preserve">Nodes (vertices, points, actors, sites)</w:t>
      </w:r>
    </w:p>
    <w:p>
      <w:pPr>
        <w:pStyle w:val="Compact"/>
        <w:numPr>
          <w:ilvl w:val="0"/>
          <w:numId w:val="1019"/>
        </w:numPr>
      </w:pPr>
      <w:r>
        <w:t xml:space="preserve">Edges (ties, links, bonds, relations, arcs)</w:t>
      </w:r>
    </w:p>
    <w:p>
      <w:pPr>
        <w:pStyle w:val="Compact"/>
        <w:numPr>
          <w:ilvl w:val="0"/>
          <w:numId w:val="1019"/>
        </w:numPr>
      </w:pPr>
      <w:r>
        <w:t xml:space="preserve">Ego</w:t>
      </w:r>
    </w:p>
    <w:p>
      <w:pPr>
        <w:pStyle w:val="Compact"/>
        <w:numPr>
          <w:ilvl w:val="0"/>
          <w:numId w:val="1019"/>
        </w:numPr>
      </w:pPr>
      <w:r>
        <w:t xml:space="preserve">Alters</w:t>
      </w:r>
    </w:p>
    <w:p>
      <w:pPr>
        <w:pStyle w:val="Compact"/>
        <w:numPr>
          <w:ilvl w:val="0"/>
          <w:numId w:val="1019"/>
        </w:numPr>
      </w:pPr>
      <w:r>
        <w:t xml:space="preserve">First &amp; Second Order Ties</w:t>
      </w:r>
    </w:p>
    <w:p>
      <w:pPr>
        <w:pStyle w:val="Compact"/>
        <w:numPr>
          <w:ilvl w:val="0"/>
          <w:numId w:val="1019"/>
        </w:numPr>
      </w:pPr>
      <w:r>
        <w:t xml:space="preserve">Dyads &amp; Triads</w:t>
      </w:r>
    </w:p>
    <w:p>
      <w:pPr>
        <w:pStyle w:val="Compact"/>
        <w:numPr>
          <w:ilvl w:val="0"/>
          <w:numId w:val="1019"/>
        </w:numPr>
      </w:pPr>
      <w:r>
        <w:t xml:space="preserve">Directed &amp; Undirected Networks</w:t>
      </w:r>
    </w:p>
    <w:p>
      <w:pPr>
        <w:pStyle w:val="Compact"/>
        <w:numPr>
          <w:ilvl w:val="0"/>
          <w:numId w:val="1019"/>
        </w:numPr>
      </w:pPr>
      <w:r>
        <w:t xml:space="preserve">Weighted &amp; Unweighted Networks</w:t>
      </w:r>
    </w:p>
    <w:p>
      <w:pPr>
        <w:pStyle w:val="Compact"/>
        <w:numPr>
          <w:ilvl w:val="0"/>
          <w:numId w:val="1019"/>
        </w:numPr>
      </w:pPr>
      <w:r>
        <w:t xml:space="preserve">Centrality</w:t>
      </w:r>
    </w:p>
    <w:p>
      <w:pPr>
        <w:pStyle w:val="Compact"/>
        <w:numPr>
          <w:ilvl w:val="1"/>
          <w:numId w:val="1020"/>
        </w:numPr>
      </w:pPr>
      <w:r>
        <w:t xml:space="preserve">Degree</w:t>
      </w:r>
    </w:p>
    <w:p>
      <w:pPr>
        <w:pStyle w:val="Compact"/>
        <w:numPr>
          <w:ilvl w:val="1"/>
          <w:numId w:val="1020"/>
        </w:numPr>
      </w:pPr>
      <w:r>
        <w:t xml:space="preserve">Geodesic (shortest) paths</w:t>
      </w:r>
    </w:p>
    <w:p>
      <w:pPr>
        <w:pStyle w:val="Compact"/>
        <w:numPr>
          <w:ilvl w:val="1"/>
          <w:numId w:val="1020"/>
        </w:numPr>
      </w:pPr>
      <w:r>
        <w:t xml:space="preserve">Betweenness</w:t>
      </w:r>
    </w:p>
    <w:bookmarkEnd w:id="28"/>
    <w:bookmarkStart w:id="29" w:name="analyzing-and-utilizing-network-data"/>
    <w:p>
      <w:pPr>
        <w:pStyle w:val="Heading4"/>
      </w:pPr>
      <w:r>
        <w:t xml:space="preserve">Analyzing and Utilizing Network Data</w:t>
      </w:r>
    </w:p>
    <w:p>
      <w:pPr>
        <w:pStyle w:val="Compact"/>
        <w:numPr>
          <w:ilvl w:val="0"/>
          <w:numId w:val="1021"/>
        </w:numPr>
      </w:pPr>
      <w:r>
        <w:t xml:space="preserve">Network data</w:t>
      </w:r>
    </w:p>
    <w:p>
      <w:pPr>
        <w:pStyle w:val="Compact"/>
        <w:numPr>
          <w:ilvl w:val="1"/>
          <w:numId w:val="1022"/>
        </w:numPr>
      </w:pPr>
      <w:r>
        <w:t xml:space="preserve">Nodelist</w:t>
      </w:r>
    </w:p>
    <w:p>
      <w:pPr>
        <w:pStyle w:val="Compact"/>
        <w:numPr>
          <w:ilvl w:val="1"/>
          <w:numId w:val="1022"/>
        </w:numPr>
      </w:pPr>
      <w:r>
        <w:t xml:space="preserve">Edgelist</w:t>
      </w:r>
    </w:p>
    <w:p>
      <w:pPr>
        <w:pStyle w:val="Compact"/>
        <w:numPr>
          <w:ilvl w:val="1"/>
          <w:numId w:val="1022"/>
        </w:numPr>
      </w:pPr>
      <w:r>
        <w:t xml:space="preserve">Adjacency matrix</w:t>
      </w:r>
    </w:p>
    <w:p>
      <w:pPr>
        <w:pStyle w:val="Compact"/>
        <w:numPr>
          <w:ilvl w:val="0"/>
          <w:numId w:val="1021"/>
        </w:numPr>
      </w:pPr>
      <w:r>
        <w:t xml:space="preserve">Network visualization focal points</w:t>
      </w:r>
    </w:p>
    <w:p>
      <w:pPr>
        <w:pStyle w:val="Compact"/>
        <w:numPr>
          <w:ilvl w:val="1"/>
          <w:numId w:val="1023"/>
        </w:numPr>
      </w:pPr>
      <w:r>
        <w:t xml:space="preserve">Key actors/links</w:t>
      </w:r>
    </w:p>
    <w:p>
      <w:pPr>
        <w:pStyle w:val="Compact"/>
        <w:numPr>
          <w:ilvl w:val="1"/>
          <w:numId w:val="1023"/>
        </w:numPr>
      </w:pPr>
      <w:r>
        <w:t xml:space="preserve">Relationship Strength</w:t>
      </w:r>
    </w:p>
    <w:p>
      <w:pPr>
        <w:pStyle w:val="Compact"/>
        <w:numPr>
          <w:ilvl w:val="1"/>
          <w:numId w:val="1023"/>
        </w:numPr>
      </w:pPr>
      <w:r>
        <w:t xml:space="preserve">Structural Properties</w:t>
      </w:r>
    </w:p>
    <w:p>
      <w:pPr>
        <w:pStyle w:val="Compact"/>
        <w:numPr>
          <w:ilvl w:val="1"/>
          <w:numId w:val="1023"/>
        </w:numPr>
      </w:pPr>
      <w:r>
        <w:t xml:space="preserve">Communities</w:t>
      </w:r>
    </w:p>
    <w:p>
      <w:pPr>
        <w:pStyle w:val="Compact"/>
        <w:numPr>
          <w:ilvl w:val="0"/>
          <w:numId w:val="1021"/>
        </w:numPr>
      </w:pPr>
      <w:r>
        <w:t xml:space="preserve">Sources of network map illustration, contrast, and differentiation</w:t>
      </w:r>
    </w:p>
    <w:p>
      <w:pPr>
        <w:pStyle w:val="Compact"/>
        <w:numPr>
          <w:ilvl w:val="1"/>
          <w:numId w:val="1024"/>
        </w:numPr>
      </w:pPr>
      <w:r>
        <w:t xml:space="preserve">Color</w:t>
      </w:r>
    </w:p>
    <w:p>
      <w:pPr>
        <w:pStyle w:val="Compact"/>
        <w:numPr>
          <w:ilvl w:val="1"/>
          <w:numId w:val="1024"/>
        </w:numPr>
      </w:pPr>
      <w:r>
        <w:t xml:space="preserve">Position</w:t>
      </w:r>
    </w:p>
    <w:p>
      <w:pPr>
        <w:pStyle w:val="Compact"/>
        <w:numPr>
          <w:ilvl w:val="1"/>
          <w:numId w:val="1024"/>
        </w:numPr>
      </w:pPr>
      <w:r>
        <w:t xml:space="preserve">Size</w:t>
      </w:r>
    </w:p>
    <w:p>
      <w:pPr>
        <w:pStyle w:val="Compact"/>
        <w:numPr>
          <w:ilvl w:val="1"/>
          <w:numId w:val="1024"/>
        </w:numPr>
      </w:pPr>
      <w:r>
        <w:t xml:space="preserve">Shape</w:t>
      </w:r>
    </w:p>
    <w:p>
      <w:pPr>
        <w:pStyle w:val="Compact"/>
        <w:numPr>
          <w:ilvl w:val="0"/>
          <w:numId w:val="1021"/>
        </w:numPr>
      </w:pPr>
      <w:r>
        <w:t xml:space="preserve">Principles of network aesthetics</w:t>
      </w:r>
    </w:p>
    <w:p>
      <w:pPr>
        <w:pStyle w:val="Compact"/>
        <w:numPr>
          <w:ilvl w:val="0"/>
          <w:numId w:val="1021"/>
        </w:numPr>
      </w:pPr>
      <w:r>
        <w:rPr>
          <w:rStyle w:val="VerbatimChar"/>
        </w:rPr>
        <w:t xml:space="preserve">iGraph</w:t>
      </w:r>
      <w:r>
        <w:t xml:space="preserve"> </w:t>
      </w:r>
      <w:r>
        <w:t xml:space="preserve">library</w:t>
      </w:r>
    </w:p>
    <w:bookmarkEnd w:id="29"/>
    <w:bookmarkEnd w:id="30"/>
    <w:bookmarkStart w:id="33" w:name="geographical-data"/>
    <w:p>
      <w:pPr>
        <w:pStyle w:val="Heading3"/>
      </w:pPr>
      <w:r>
        <w:t xml:space="preserve">Geographical Data</w:t>
      </w:r>
    </w:p>
    <w:bookmarkStart w:id="31" w:name="cartography"/>
    <w:p>
      <w:pPr>
        <w:pStyle w:val="Heading4"/>
      </w:pPr>
      <w:r>
        <w:t xml:space="preserve">Cartography</w:t>
      </w:r>
    </w:p>
    <w:p>
      <w:pPr>
        <w:pStyle w:val="Compact"/>
        <w:numPr>
          <w:ilvl w:val="0"/>
          <w:numId w:val="1025"/>
        </w:numPr>
      </w:pPr>
      <w:r>
        <w:t xml:space="preserve">What is a map?</w:t>
      </w:r>
    </w:p>
    <w:p>
      <w:pPr>
        <w:pStyle w:val="Compact"/>
        <w:numPr>
          <w:ilvl w:val="1"/>
          <w:numId w:val="1026"/>
        </w:numPr>
      </w:pPr>
      <w:r>
        <w:t xml:space="preserve">Models</w:t>
      </w:r>
    </w:p>
    <w:p>
      <w:pPr>
        <w:pStyle w:val="Compact"/>
        <w:numPr>
          <w:ilvl w:val="1"/>
          <w:numId w:val="1026"/>
        </w:numPr>
      </w:pPr>
      <w:r>
        <w:t xml:space="preserve">“Map is not territory”</w:t>
      </w:r>
    </w:p>
    <w:p>
      <w:pPr>
        <w:pStyle w:val="Compact"/>
        <w:numPr>
          <w:ilvl w:val="0"/>
          <w:numId w:val="1025"/>
        </w:numPr>
      </w:pPr>
      <w:r>
        <w:t xml:space="preserve">Elements of maps</w:t>
      </w:r>
    </w:p>
    <w:p>
      <w:pPr>
        <w:pStyle w:val="Compact"/>
        <w:numPr>
          <w:ilvl w:val="1"/>
          <w:numId w:val="1027"/>
        </w:numPr>
      </w:pPr>
      <w:r>
        <w:t xml:space="preserve">Point</w:t>
      </w:r>
    </w:p>
    <w:p>
      <w:pPr>
        <w:pStyle w:val="Compact"/>
        <w:numPr>
          <w:ilvl w:val="1"/>
          <w:numId w:val="1027"/>
        </w:numPr>
      </w:pPr>
      <w:r>
        <w:t xml:space="preserve">Line</w:t>
      </w:r>
    </w:p>
    <w:p>
      <w:pPr>
        <w:pStyle w:val="Compact"/>
        <w:numPr>
          <w:ilvl w:val="1"/>
          <w:numId w:val="1027"/>
        </w:numPr>
      </w:pPr>
      <w:r>
        <w:t xml:space="preserve">Polygon</w:t>
      </w:r>
    </w:p>
    <w:p>
      <w:pPr>
        <w:pStyle w:val="Compact"/>
        <w:numPr>
          <w:ilvl w:val="1"/>
          <w:numId w:val="1027"/>
        </w:numPr>
      </w:pPr>
      <w:r>
        <w:t xml:space="preserve">Shading</w:t>
      </w:r>
    </w:p>
    <w:p>
      <w:pPr>
        <w:pStyle w:val="Compact"/>
        <w:numPr>
          <w:ilvl w:val="1"/>
          <w:numId w:val="1027"/>
        </w:numPr>
      </w:pPr>
      <w:r>
        <w:t xml:space="preserve">Labels</w:t>
      </w:r>
    </w:p>
    <w:p>
      <w:pPr>
        <w:pStyle w:val="Compact"/>
        <w:numPr>
          <w:ilvl w:val="1"/>
          <w:numId w:val="1027"/>
        </w:numPr>
      </w:pPr>
      <w:r>
        <w:t xml:space="preserve">Scale</w:t>
      </w:r>
    </w:p>
    <w:p>
      <w:pPr>
        <w:pStyle w:val="Compact"/>
        <w:numPr>
          <w:ilvl w:val="0"/>
          <w:numId w:val="1025"/>
        </w:numPr>
      </w:pPr>
      <w:r>
        <w:t xml:space="preserve">Coordinates &amp; Coordinate Systems</w:t>
      </w:r>
    </w:p>
    <w:p>
      <w:pPr>
        <w:pStyle w:val="Compact"/>
        <w:numPr>
          <w:ilvl w:val="0"/>
          <w:numId w:val="1025"/>
        </w:numPr>
      </w:pPr>
      <w:r>
        <w:t xml:space="preserve">Map Projection</w:t>
      </w:r>
    </w:p>
    <w:p>
      <w:pPr>
        <w:pStyle w:val="Compact"/>
        <w:numPr>
          <w:ilvl w:val="1"/>
          <w:numId w:val="1028"/>
        </w:numPr>
      </w:pPr>
      <w:r>
        <w:t xml:space="preserve">Theorema Egregium</w:t>
      </w:r>
    </w:p>
    <w:p>
      <w:pPr>
        <w:pStyle w:val="Compact"/>
        <w:numPr>
          <w:ilvl w:val="0"/>
          <w:numId w:val="1025"/>
        </w:numPr>
      </w:pPr>
      <w:r>
        <w:t xml:space="preserve">Areal Units</w:t>
      </w:r>
    </w:p>
    <w:p>
      <w:pPr>
        <w:pStyle w:val="Compact"/>
        <w:numPr>
          <w:ilvl w:val="1"/>
          <w:numId w:val="1029"/>
        </w:numPr>
      </w:pPr>
      <w:r>
        <w:t xml:space="preserve">Boundaries</w:t>
      </w:r>
    </w:p>
    <w:p>
      <w:pPr>
        <w:pStyle w:val="Compact"/>
        <w:numPr>
          <w:ilvl w:val="1"/>
          <w:numId w:val="1029"/>
        </w:numPr>
      </w:pPr>
      <w:r>
        <w:t xml:space="preserve">Modifiable Areal Unit Problem</w:t>
      </w:r>
    </w:p>
    <w:p>
      <w:pPr>
        <w:pStyle w:val="Compact"/>
        <w:numPr>
          <w:ilvl w:val="0"/>
          <w:numId w:val="1025"/>
        </w:numPr>
      </w:pPr>
      <w:r>
        <w:t xml:space="preserve">Color and Contrast</w:t>
      </w:r>
    </w:p>
    <w:p>
      <w:pPr>
        <w:pStyle w:val="Compact"/>
        <w:numPr>
          <w:ilvl w:val="1"/>
          <w:numId w:val="1030"/>
        </w:numPr>
      </w:pPr>
      <w:r>
        <w:t xml:space="preserve">Bertin’s visual variables: position, size, shape, value, hue, orientation, texture</w:t>
      </w:r>
    </w:p>
    <w:p>
      <w:pPr>
        <w:pStyle w:val="Compact"/>
        <w:numPr>
          <w:ilvl w:val="1"/>
          <w:numId w:val="1030"/>
        </w:numPr>
      </w:pPr>
      <w:r>
        <w:t xml:space="preserve">Mapping of visual variables and encoding to graphical element types</w:t>
      </w:r>
    </w:p>
    <w:p>
      <w:pPr>
        <w:pStyle w:val="Compact"/>
        <w:numPr>
          <w:ilvl w:val="1"/>
          <w:numId w:val="1030"/>
        </w:numPr>
      </w:pPr>
      <w:r>
        <w:t xml:space="preserve">Color theory &amp; color schemes: sequential, diverging, qualitative</w:t>
      </w:r>
    </w:p>
    <w:p>
      <w:pPr>
        <w:pStyle w:val="Compact"/>
        <w:numPr>
          <w:ilvl w:val="1"/>
          <w:numId w:val="1030"/>
        </w:numPr>
      </w:pPr>
      <w:r>
        <w:t xml:space="preserve">Hue, saturation, and value</w:t>
      </w:r>
    </w:p>
    <w:p>
      <w:pPr>
        <w:pStyle w:val="Compact"/>
        <w:numPr>
          <w:ilvl w:val="1"/>
          <w:numId w:val="1030"/>
        </w:numPr>
      </w:pPr>
      <w:r>
        <w:t xml:space="preserve">Induction</w:t>
      </w:r>
    </w:p>
    <w:p>
      <w:pPr>
        <w:pStyle w:val="Compact"/>
        <w:numPr>
          <w:ilvl w:val="0"/>
          <w:numId w:val="1025"/>
        </w:numPr>
      </w:pPr>
      <w:r>
        <w:t xml:space="preserve">Overall map design principles</w:t>
      </w:r>
    </w:p>
    <w:bookmarkEnd w:id="31"/>
    <w:bookmarkStart w:id="32" w:name="geographical-data-1"/>
    <w:p>
      <w:pPr>
        <w:pStyle w:val="Heading4"/>
      </w:pPr>
      <w:r>
        <w:t xml:space="preserve">Geographical Data</w:t>
      </w:r>
    </w:p>
    <w:p>
      <w:pPr>
        <w:pStyle w:val="Compact"/>
        <w:numPr>
          <w:ilvl w:val="0"/>
          <w:numId w:val="1031"/>
        </w:numPr>
      </w:pPr>
      <w:r>
        <w:t xml:space="preserve">GIS and R</w:t>
      </w:r>
    </w:p>
    <w:p>
      <w:pPr>
        <w:pStyle w:val="Compact"/>
        <w:numPr>
          <w:ilvl w:val="0"/>
          <w:numId w:val="1031"/>
        </w:numPr>
      </w:pPr>
      <w:r>
        <w:t xml:space="preserve">Types of data</w:t>
      </w:r>
    </w:p>
    <w:p>
      <w:pPr>
        <w:pStyle w:val="Compact"/>
        <w:numPr>
          <w:ilvl w:val="1"/>
          <w:numId w:val="1032"/>
        </w:numPr>
      </w:pPr>
      <w:r>
        <w:t xml:space="preserve">Vector</w:t>
      </w:r>
    </w:p>
    <w:p>
      <w:pPr>
        <w:pStyle w:val="Compact"/>
        <w:numPr>
          <w:ilvl w:val="1"/>
          <w:numId w:val="1032"/>
        </w:numPr>
      </w:pPr>
      <w:r>
        <w:t xml:space="preserve">Raster</w:t>
      </w:r>
    </w:p>
    <w:p>
      <w:pPr>
        <w:pStyle w:val="Compact"/>
        <w:numPr>
          <w:ilvl w:val="0"/>
          <w:numId w:val="1031"/>
        </w:numPr>
      </w:pPr>
      <w:r>
        <w:t xml:space="preserve">Spatial data joins</w:t>
      </w:r>
    </w:p>
    <w:p>
      <w:pPr>
        <w:pStyle w:val="Compact"/>
        <w:numPr>
          <w:ilvl w:val="0"/>
          <w:numId w:val="1031"/>
        </w:numPr>
      </w:pPr>
      <w:r>
        <w:t xml:space="preserve">Geographical R libraries</w:t>
      </w:r>
    </w:p>
    <w:bookmarkEnd w:id="32"/>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r>
        <w:t xml:space="preserve">A second</w:t>
      </w:r>
      <w:r>
        <w:t xml:space="preserve"> </w:t>
      </w:r>
      <w:r>
        <w:rPr>
          <w:b/>
          <w:bCs/>
        </w:rPr>
        <w:t xml:space="preserve">practicum</w:t>
      </w:r>
      <w:r>
        <w:t xml:space="preserve"> </w:t>
      </w:r>
      <w:r>
        <w:t xml:space="preserve">exam takes place towards the end of the semester.</w:t>
      </w:r>
    </w:p>
  </w:footnote>
  <w:footnote w:id="26">
    <w:p>
      <w:pPr>
        <w:pStyle w:val="FootnoteText"/>
      </w:pPr>
      <w:r>
        <w:rPr>
          <w:rStyle w:val="FootnoteReference"/>
        </w:rPr>
        <w:footnoteRef/>
      </w:r>
      <w:r>
        <w:t xml:space="preserve"> </w:t>
      </w:r>
      <w:r>
        <w:t xml:space="preserve">There is no second core exam.</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 Review Guide</dc:title>
  <dc:creator>Prof. Jack Reilly</dc:creator>
  <cp:keywords/>
  <dcterms:created xsi:type="dcterms:W3CDTF">2026-08-26T16:37:16Z</dcterms:created>
  <dcterms:modified xsi:type="dcterms:W3CDTF">2026-08-26T16:37:16Z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ps</vt:lpwstr>
  </property>
  <property fmtid="{D5CDD505-2E9C-101B-9397-08002B2CF9AE}" pid="12" name="subtitle">
    <vt:lpwstr>Data Wrangling and Visualization</vt:lpwstr>
  </property>
  <property fmtid="{D5CDD505-2E9C-101B-9397-08002B2CF9AE}" pid="13" name="toc-title">
    <vt:lpwstr>Table of contents</vt:lpwstr>
  </property>
</Properties>
</file>