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 to Statistics</w:t>
      </w:r>
    </w:p>
    <w:bookmarkStart w:id="28" w:name="course-topics"/>
    <w:p>
      <w:pPr>
        <w:pStyle w:val="Heading1"/>
      </w:pPr>
      <w:r>
        <w:t xml:space="preserve">Course Topics</w:t>
      </w:r>
    </w:p>
    <w:bookmarkStart w:id="26" w:name="schedule"/>
    <w:p>
      <w:pPr>
        <w:pStyle w:val="Heading2"/>
      </w:pPr>
      <w:r>
        <w:t xml:space="preserve">Schedule</w:t>
      </w:r>
    </w:p>
    <w:tbl>
      <w:tblPr>
        <w:tblStyle w:val="Table"/>
        <w:tblW w:type="pct" w:w="5000"/>
        <w:tblLayout w:type="fixed"/>
        <w:tblLook w:firstRow="1" w:lastRow="0" w:firstColumn="0" w:lastColumn="0" w:noHBand="0" w:noVBand="0" w:val="0020"/>
      </w:tblPr>
      <w:tblGrid>
        <w:gridCol w:w="609"/>
        <w:gridCol w:w="3046"/>
        <w:gridCol w:w="1421"/>
        <w:gridCol w:w="1421"/>
        <w:gridCol w:w="1421"/>
      </w:tblGrid>
      <w:tr>
        <w:trPr>
          <w:tblHeader w:val="on"/>
        </w:trPr>
        <w:tc>
          <w:tcPr/>
          <w:p>
            <w:pPr>
              <w:pStyle w:val="Compact"/>
            </w:pPr>
            <w:r>
              <w:t xml:space="preserve">Unit</w:t>
            </w:r>
          </w:p>
        </w:tc>
        <w:tc>
          <w:tcPr/>
          <w:p>
            <w:pPr>
              <w:pStyle w:val="Compact"/>
            </w:pPr>
            <w:r>
              <w:t xml:space="preserve">Topic</w:t>
            </w:r>
          </w:p>
        </w:tc>
        <w:tc>
          <w:tcPr/>
          <w:p>
            <w:pPr>
              <w:pStyle w:val="Compact"/>
            </w:pPr>
            <w:r>
              <w:rPr>
                <w:b/>
                <w:bCs/>
              </w:rPr>
              <w:t xml:space="preserve">STA</w:t>
            </w:r>
          </w:p>
        </w:tc>
        <w:tc>
          <w:tcPr/>
          <w:p>
            <w:pPr>
              <w:pStyle w:val="Compact"/>
            </w:pPr>
            <w:r>
              <w:rPr>
                <w:b/>
                <w:bCs/>
              </w:rPr>
              <w:t xml:space="preserve">PNA</w:t>
            </w:r>
          </w:p>
        </w:tc>
        <w:tc>
          <w:tcPr/>
          <w:p>
            <w:pPr>
              <w:pStyle w:val="Compact"/>
            </w:pPr>
            <w:r>
              <w:rPr>
                <w:b/>
                <w:bCs/>
              </w:rPr>
              <w:t xml:space="preserve">MtM</w:t>
            </w:r>
          </w:p>
        </w:tc>
      </w:tr>
      <w:tr>
        <w:tc>
          <w:tcPr/>
          <w:p>
            <w:pPr>
              <w:pStyle w:val="Compact"/>
            </w:pPr>
            <w:r>
              <w:t xml:space="preserve">I</w:t>
            </w:r>
          </w:p>
        </w:tc>
        <w:tc>
          <w:tcPr/>
          <w:p>
            <w:pPr>
              <w:pStyle w:val="Compact"/>
            </w:pPr>
            <w:r>
              <w:t xml:space="preserve">Descriptive statistics</w:t>
            </w:r>
          </w:p>
        </w:tc>
        <w:tc>
          <w:tcPr/>
          <w:p>
            <w:pPr>
              <w:pStyle w:val="Compact"/>
            </w:pPr>
            <w:r>
              <w:t xml:space="preserve">1.2; 1.3; 1.4</w:t>
            </w:r>
          </w:p>
        </w:tc>
        <w:tc>
          <w:tcPr/>
          <w:p>
            <w:pPr>
              <w:pStyle w:val="Compact"/>
            </w:pPr>
            <w:r>
              <w:t xml:space="preserve">1, 4, 5, 6</w:t>
            </w:r>
          </w:p>
        </w:tc>
        <w:tc>
          <w:tcPr/>
          <w:p>
            <w:pPr>
              <w:pStyle w:val="Compact"/>
            </w:pPr>
            <w:r>
              <w:t xml:space="preserve">1, 2</w:t>
            </w:r>
          </w:p>
        </w:tc>
      </w:tr>
      <w:tr>
        <w:tc>
          <w:tcPr/>
          <w:p>
            <w:pPr>
              <w:pStyle w:val="Compact"/>
            </w:pPr>
            <w:r>
              <w:t xml:space="preserve">II</w:t>
            </w:r>
          </w:p>
        </w:tc>
        <w:tc>
          <w:tcPr/>
          <w:p>
            <w:pPr>
              <w:pStyle w:val="Compact"/>
            </w:pPr>
            <w:r>
              <w:t xml:space="preserve">Statistical relationships</w:t>
            </w:r>
          </w:p>
        </w:tc>
        <w:tc>
          <w:tcPr/>
          <w:p>
            <w:pPr>
              <w:pStyle w:val="Compact"/>
            </w:pPr>
            <w:r>
              <w:t xml:space="preserve">2.1–2.7</w:t>
            </w:r>
          </w:p>
        </w:tc>
        <w:tc>
          <w:tcPr/>
          <w:p>
            <w:pPr>
              <w:pStyle w:val="Compact"/>
            </w:pPr>
            <w:r>
              <w:t xml:space="preserve">14, 15</w:t>
            </w:r>
          </w:p>
        </w:tc>
        <w:tc>
          <w:tcPr/>
          <w:p>
            <w:pPr>
              <w:pStyle w:val="Compact"/>
            </w:pPr>
            <w:r>
              <w:t xml:space="preserve">3</w:t>
            </w:r>
          </w:p>
        </w:tc>
      </w:tr>
      <w:tr>
        <w:tc>
          <w:tcPr/>
          <w:p>
            <w:pPr>
              <w:pStyle w:val="Compact"/>
            </w:pPr>
            <w:r>
              <w:t xml:space="preserve">III</w:t>
            </w:r>
          </w:p>
        </w:tc>
        <w:tc>
          <w:tcPr/>
          <w:p>
            <w:pPr>
              <w:pStyle w:val="Compact"/>
            </w:pPr>
            <w:r>
              <w:t xml:space="preserve">Producing data</w:t>
            </w:r>
          </w:p>
        </w:tc>
        <w:tc>
          <w:tcPr/>
          <w:p>
            <w:pPr>
              <w:pStyle w:val="Compact"/>
            </w:pPr>
            <w:r>
              <w:t xml:space="preserve">3.1–3.4</w:t>
            </w:r>
          </w:p>
        </w:tc>
        <w:tc>
          <w:tcPr/>
          <w:p>
            <w:pPr>
              <w:pStyle w:val="Compact"/>
            </w:pPr>
            <w:r>
              <w:t xml:space="preserve">2, 3</w:t>
            </w:r>
          </w:p>
        </w:tc>
        <w:tc>
          <w:tcPr/>
          <w:p>
            <w:pPr>
              <w:pStyle w:val="Compact"/>
            </w:pPr>
            <w:r>
              <w:t xml:space="preserve">4</w:t>
            </w:r>
          </w:p>
        </w:tc>
      </w:tr>
      <w:tr>
        <w:tc>
          <w:tcPr/>
          <w:p>
            <w:pPr>
              <w:pStyle w:val="Compact"/>
            </w:pPr>
            <w:r>
              <w:t xml:space="preserve">IV</w:t>
            </w:r>
          </w:p>
        </w:tc>
        <w:tc>
          <w:tcPr/>
          <w:p>
            <w:pPr>
              <w:pStyle w:val="Compact"/>
            </w:pPr>
            <w:r>
              <w:t xml:space="preserve">Probability</w:t>
            </w:r>
          </w:p>
        </w:tc>
        <w:tc>
          <w:tcPr/>
          <w:p>
            <w:pPr>
              <w:pStyle w:val="Compact"/>
            </w:pPr>
            <w:r>
              <w:t xml:space="preserve">4.1–4.5</w:t>
            </w:r>
          </w:p>
        </w:tc>
        <w:tc>
          <w:tcPr/>
          <w:p>
            <w:pPr>
              <w:pStyle w:val="Compact"/>
            </w:pPr>
            <w:r>
              <w:t xml:space="preserve">7, 8</w:t>
            </w:r>
          </w:p>
        </w:tc>
        <w:tc>
          <w:tcPr/>
          <w:p>
            <w:pPr>
              <w:pStyle w:val="Compact"/>
            </w:pPr>
            <w:r>
              <w:t xml:space="preserve">5</w:t>
            </w:r>
          </w:p>
        </w:tc>
      </w:tr>
      <w:tr>
        <w:tc>
          <w:tcPr/>
          <w:p>
            <w:pPr>
              <w:pStyle w:val="Compact"/>
            </w:pPr>
          </w:p>
        </w:tc>
        <w:tc>
          <w:tcPr/>
          <w:p>
            <w:pPr>
              <w:pStyle w:val="Compact"/>
            </w:pPr>
            <w:r>
              <w:rPr>
                <w:b/>
                <w:bCs/>
              </w:rPr>
              <w:t xml:space="preserve">Midterm Exam (Thu Oct 17)</w:t>
            </w:r>
          </w:p>
        </w:tc>
        <w:tc>
          <w:tcPr/>
          <w:p>
            <w:pPr>
              <w:pStyle w:val="Compact"/>
            </w:pPr>
          </w:p>
        </w:tc>
        <w:tc>
          <w:tcPr/>
          <w:p>
            <w:pPr>
              <w:pStyle w:val="Compact"/>
            </w:pPr>
          </w:p>
        </w:tc>
        <w:tc>
          <w:tcPr/>
          <w:p>
            <w:pPr>
              <w:pStyle w:val="Compact"/>
            </w:pPr>
          </w:p>
        </w:tc>
      </w:tr>
      <w:tr>
        <w:tc>
          <w:tcPr/>
          <w:p>
            <w:pPr>
              <w:pStyle w:val="Compact"/>
            </w:pPr>
            <w:r>
              <w:t xml:space="preserve">V</w:t>
            </w:r>
          </w:p>
        </w:tc>
        <w:tc>
          <w:tcPr/>
          <w:p>
            <w:pPr>
              <w:pStyle w:val="Compact"/>
            </w:pPr>
            <w:r>
              <w:t xml:space="preserve">Sampling distributions</w:t>
            </w:r>
          </w:p>
        </w:tc>
        <w:tc>
          <w:tcPr/>
          <w:p>
            <w:pPr>
              <w:pStyle w:val="Compact"/>
            </w:pPr>
            <w:r>
              <w:t xml:space="preserve">5.1–5.3</w:t>
            </w:r>
          </w:p>
        </w:tc>
        <w:tc>
          <w:tcPr/>
          <w:p>
            <w:pPr>
              <w:pStyle w:val="Compact"/>
            </w:pPr>
            <w:r>
              <w:t xml:space="preserve">7,8</w:t>
            </w:r>
          </w:p>
        </w:tc>
        <w:tc>
          <w:tcPr/>
          <w:p>
            <w:pPr>
              <w:pStyle w:val="Compact"/>
            </w:pPr>
            <w:r>
              <w:t xml:space="preserve">6</w:t>
            </w:r>
          </w:p>
        </w:tc>
      </w:tr>
      <w:tr>
        <w:tc>
          <w:tcPr/>
          <w:p>
            <w:pPr>
              <w:pStyle w:val="Compact"/>
            </w:pPr>
            <w:r>
              <w:t xml:space="preserve">VI</w:t>
            </w:r>
          </w:p>
        </w:tc>
        <w:tc>
          <w:tcPr/>
          <w:p>
            <w:pPr>
              <w:pStyle w:val="Compact"/>
            </w:pPr>
            <w:r>
              <w:t xml:space="preserve">Inference</w:t>
            </w:r>
          </w:p>
        </w:tc>
        <w:tc>
          <w:tcPr/>
          <w:p>
            <w:pPr>
              <w:pStyle w:val="Compact"/>
            </w:pPr>
            <w:r>
              <w:t xml:space="preserve">6.1–6.4</w:t>
            </w:r>
          </w:p>
        </w:tc>
        <w:tc>
          <w:tcPr/>
          <w:p>
            <w:pPr>
              <w:pStyle w:val="Compact"/>
            </w:pPr>
            <w:r>
              <w:t xml:space="preserve">10</w:t>
            </w:r>
          </w:p>
        </w:tc>
        <w:tc>
          <w:tcPr/>
          <w:p>
            <w:pPr>
              <w:pStyle w:val="Compact"/>
            </w:pPr>
            <w:r>
              <w:t xml:space="preserve">7</w:t>
            </w:r>
          </w:p>
        </w:tc>
      </w:tr>
      <w:tr>
        <w:tc>
          <w:tcPr/>
          <w:p>
            <w:pPr>
              <w:pStyle w:val="Compact"/>
            </w:pPr>
            <w:r>
              <w:t xml:space="preserve">VII</w:t>
            </w:r>
          </w:p>
        </w:tc>
        <w:tc>
          <w:tcPr/>
          <w:p>
            <w:pPr>
              <w:pStyle w:val="Compact"/>
            </w:pPr>
            <w:r>
              <w:t xml:space="preserve">Inference for distributions</w:t>
            </w:r>
          </w:p>
        </w:tc>
        <w:tc>
          <w:tcPr/>
          <w:p>
            <w:pPr>
              <w:pStyle w:val="Compact"/>
            </w:pPr>
            <w:r>
              <w:t xml:space="preserve">7.1–7.2</w:t>
            </w:r>
          </w:p>
        </w:tc>
        <w:tc>
          <w:tcPr/>
          <w:p>
            <w:pPr>
              <w:pStyle w:val="Compact"/>
            </w:pPr>
            <w:r>
              <w:t xml:space="preserve">11</w:t>
            </w:r>
          </w:p>
        </w:tc>
        <w:tc>
          <w:tcPr/>
          <w:p>
            <w:pPr>
              <w:pStyle w:val="Compact"/>
            </w:pPr>
            <w:r>
              <w:t xml:space="preserve">8, 9</w:t>
            </w:r>
          </w:p>
        </w:tc>
      </w:tr>
      <w:tr>
        <w:tc>
          <w:tcPr/>
          <w:p>
            <w:pPr>
              <w:pStyle w:val="Compact"/>
            </w:pPr>
            <w:r>
              <w:t xml:space="preserve">VIII</w:t>
            </w:r>
          </w:p>
        </w:tc>
        <w:tc>
          <w:tcPr/>
          <w:p>
            <w:pPr>
              <w:pStyle w:val="Compact"/>
            </w:pPr>
            <w:r>
              <w:t xml:space="preserve">Simple linear regression</w:t>
            </w:r>
          </w:p>
        </w:tc>
        <w:tc>
          <w:tcPr/>
          <w:p>
            <w:pPr>
              <w:pStyle w:val="Compact"/>
            </w:pPr>
            <w:r>
              <w:t xml:space="preserve">10.1</w:t>
            </w:r>
          </w:p>
        </w:tc>
        <w:tc>
          <w:tcPr/>
          <w:p>
            <w:pPr>
              <w:pStyle w:val="Compact"/>
            </w:pPr>
            <w:r>
              <w:t xml:space="preserve">17</w:t>
            </w:r>
          </w:p>
        </w:tc>
        <w:tc>
          <w:tcPr/>
          <w:p>
            <w:pPr>
              <w:pStyle w:val="Compact"/>
            </w:pPr>
            <w:r>
              <w:t xml:space="preserve">10</w:t>
            </w:r>
          </w:p>
        </w:tc>
      </w:tr>
      <w:tr>
        <w:tc>
          <w:tcPr/>
          <w:p>
            <w:pPr>
              <w:pStyle w:val="Compact"/>
            </w:pPr>
            <w:r>
              <w:t xml:space="preserve">IX*</w:t>
            </w:r>
          </w:p>
        </w:tc>
        <w:tc>
          <w:tcPr/>
          <w:p>
            <w:pPr>
              <w:pStyle w:val="Compact"/>
            </w:pPr>
            <w:r>
              <w:t xml:space="preserve">Less simple regression</w:t>
            </w:r>
          </w:p>
        </w:tc>
        <w:tc>
          <w:tcPr/>
          <w:p>
            <w:pPr>
              <w:pStyle w:val="Compact"/>
            </w:pPr>
            <w:r>
              <w:t xml:space="preserve">11.1–11.2</w:t>
            </w:r>
          </w:p>
        </w:tc>
        <w:tc>
          <w:tcPr/>
          <w:p>
            <w:pPr>
              <w:pStyle w:val="Compact"/>
            </w:pPr>
            <w:r>
              <w:t xml:space="preserve">20</w:t>
            </w:r>
          </w:p>
        </w:tc>
        <w:tc>
          <w:tcPr/>
          <w:p>
            <w:pPr>
              <w:pStyle w:val="Compact"/>
            </w:pPr>
            <w:r>
              <w:t xml:space="preserve">11, 12</w:t>
            </w:r>
          </w:p>
        </w:tc>
      </w:tr>
      <w:tr>
        <w:tc>
          <w:tcPr/>
          <w:p>
            <w:pPr>
              <w:pStyle w:val="Compact"/>
            </w:pPr>
          </w:p>
        </w:tc>
        <w:tc>
          <w:tcPr/>
          <w:p>
            <w:pPr>
              <w:pStyle w:val="Compact"/>
            </w:pPr>
            <w:r>
              <w:rPr>
                <w:b/>
                <w:bCs/>
              </w:rPr>
              <w:t xml:space="preserve">Final Exam</w:t>
            </w:r>
          </w:p>
        </w:tc>
        <w:tc>
          <w:tcPr/>
          <w:p>
            <w:pPr>
              <w:pStyle w:val="Compact"/>
            </w:pPr>
          </w:p>
        </w:tc>
        <w:tc>
          <w:tcPr/>
          <w:p>
            <w:pPr>
              <w:pStyle w:val="Compact"/>
            </w:pPr>
          </w:p>
        </w:tc>
        <w:tc>
          <w:tcPr/>
          <w:p>
            <w:pPr>
              <w:pStyle w:val="Compact"/>
            </w:pPr>
          </w:p>
        </w:tc>
      </w:tr>
    </w:tbl>
    <w:p>
      <w:pPr>
        <w:pStyle w:val="BodyText"/>
      </w:pPr>
      <w:r>
        <w:t xml:space="preserve">*️ If time allows.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opt/quarto/share/formats/docx/tip.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Book Abbreviations</w:t>
            </w:r>
          </w:p>
        </w:tc>
      </w:tr>
      <w:tr>
        <w:trPr>
          <w:cantSplit/>
        </w:trPr>
        <w:tc>
          <w:tcPr>
            <w:tcMar>
              <w:top w:w="108" w:type="dxa"/>
              <w:bottom w:w="108" w:type="dxa"/>
            </w:tcMar>
          </w:tcPr>
          <w:p>
            <w:pPr>
              <w:pStyle w:val="BodyText"/>
            </w:pPr>
            <w:pPr>
              <w:spacing w:before="16"/>
            </w:pPr>
            <w:r>
              <w:t xml:space="preserve">You can use any book you wish (although I encourage you to make sure its style suits you):</w:t>
            </w:r>
          </w:p>
          <w:p>
            <w:pPr>
              <w:pStyle w:val="Compact"/>
              <w:numPr>
                <w:ilvl w:val="0"/>
                <w:numId w:val="1001"/>
              </w:numPr>
            </w:pPr>
            <w:r>
              <w:rPr>
                <w:b/>
                <w:bCs/>
              </w:rPr>
              <w:t xml:space="preserve">STA</w:t>
            </w:r>
            <w:r>
              <w:t xml:space="preserve"> </w:t>
            </w:r>
            <w:r>
              <w:t xml:space="preserve">Moore, David S., George P. McCabe, Bruce A. Craig.</w:t>
            </w:r>
            <w:r>
              <w:t xml:space="preserve"> </w:t>
            </w:r>
            <w:hyperlink r:id="rId23">
              <w:r>
                <w:rPr>
                  <w:rStyle w:val="Hyperlink"/>
                  <w:i/>
                  <w:iCs/>
                </w:rPr>
                <w:t xml:space="preserve">Introduction to the Practice of Statistics</w:t>
              </w:r>
            </w:hyperlink>
            <w:r>
              <w:t xml:space="preserve">. W.H. Freeman and Company.</w:t>
            </w:r>
            <w:r>
              <w:t xml:space="preserve"> </w:t>
            </w:r>
            <w:r>
              <w:rPr>
                <w:i/>
                <w:iCs/>
              </w:rPr>
              <w:t xml:space="preserve">Any edition 6th or newer is sufficient.</w:t>
            </w:r>
          </w:p>
          <w:p>
            <w:pPr>
              <w:pStyle w:val="Compact"/>
              <w:numPr>
                <w:ilvl w:val="0"/>
                <w:numId w:val="1001"/>
              </w:numPr>
            </w:pPr>
            <w:r>
              <w:rPr>
                <w:b/>
                <w:bCs/>
              </w:rPr>
              <w:t xml:space="preserve">PNA</w:t>
            </w:r>
            <w:r>
              <w:t xml:space="preserve"> </w:t>
            </w:r>
            <w:r>
              <w:t xml:space="preserve">Meier, Kenneth, Jeffery Brudney, and John Bohte.</w:t>
            </w:r>
            <w:r>
              <w:t xml:space="preserve"> </w:t>
            </w:r>
            <w:hyperlink r:id="rId24">
              <w:r>
                <w:rPr>
                  <w:rStyle w:val="Hyperlink"/>
                  <w:i/>
                  <w:iCs/>
                </w:rPr>
                <w:t xml:space="preserve">Applied Statistics for Public and Nonprofit Administration</w:t>
              </w:r>
            </w:hyperlink>
            <w:r>
              <w:t xml:space="preserve">. Cengage.</w:t>
            </w:r>
            <w:r>
              <w:t xml:space="preserve"> </w:t>
            </w:r>
            <w:r>
              <w:rPr>
                <w:i/>
                <w:iCs/>
              </w:rPr>
              <w:t xml:space="preserve">Any recent edition is fine</w:t>
            </w:r>
          </w:p>
          <w:p>
            <w:pPr>
              <w:pStyle w:val="Compact"/>
              <w:numPr>
                <w:ilvl w:val="0"/>
                <w:numId w:val="1001"/>
              </w:numPr>
            </w:pPr>
            <w:r>
              <w:rPr>
                <w:b/>
                <w:bCs/>
              </w:rPr>
              <w:t xml:space="preserve">MtM</w:t>
            </w:r>
            <w:r>
              <w:t xml:space="preserve"> </w:t>
            </w:r>
            <w:r>
              <w:t xml:space="preserve">Favero, Nathan.</w:t>
            </w:r>
            <w:r>
              <w:t xml:space="preserve"> </w:t>
            </w:r>
            <w:hyperlink r:id="rId25">
              <w:r>
                <w:rPr>
                  <w:rStyle w:val="Hyperlink"/>
                  <w:i/>
                  <w:iCs/>
                </w:rPr>
                <w:t xml:space="preserve">Statistics Minus the Math: An Introduction for Social Sciences</w:t>
              </w:r>
              <w:r>
                <w:rPr>
                  <w:rStyle w:val="Hyperlink"/>
                </w:rPr>
                <w:t xml:space="preserve"> </w:t>
              </w:r>
              <w:r>
                <w:rPr>
                  <w:rStyle w:val="Hyperlink"/>
                </w:rPr>
                <w:t xml:space="preserve">(https://minusthemath.com)</w:t>
              </w:r>
            </w:hyperlink>
          </w:p>
        </w:tc>
      </w:tr>
    </w:tbl>
    <w:bookmarkEnd w:id="26"/>
    <w:bookmarkStart w:id="27" w:name="a-word-on-reading"/>
    <w:p>
      <w:pPr>
        <w:pStyle w:val="Heading2"/>
      </w:pPr>
      <w:r>
        <w:t xml:space="preserve">A Word on Reading</w:t>
      </w:r>
    </w:p>
    <w:p>
      <w:pPr>
        <w:pStyle w:val="FirstParagraph"/>
      </w:pPr>
      <w:r>
        <w:t xml:space="preserve">Reading in a statistics class is different from a substantive class. You should generally keep up with readings, but you are not expected to thoroughly digest them by the day we cover them in class. The textbooks serve as an additional resource to lectures and help you understand the material more effectively. They may also cover detail we don’t emphasize in class (and vice versa).</w:t>
      </w:r>
    </w:p>
    <w:p>
      <w:pPr>
        <w:pStyle w:val="BodyText"/>
      </w:pPr>
      <w:r>
        <w:t xml:space="preserve">Each book has its strengths:</w:t>
      </w:r>
    </w:p>
    <w:p>
      <w:pPr>
        <w:pStyle w:val="Compact"/>
        <w:numPr>
          <w:ilvl w:val="0"/>
          <w:numId w:val="1002"/>
        </w:numPr>
      </w:pPr>
      <w:r>
        <w:rPr>
          <w:b/>
          <w:bCs/>
        </w:rPr>
        <w:t xml:space="preserve">STA</w:t>
      </w:r>
      <w:r>
        <w:t xml:space="preserve"> </w:t>
      </w:r>
      <w:r>
        <w:rPr>
          <w:i/>
          <w:iCs/>
        </w:rPr>
        <w:t xml:space="preserve">Introduction to the Practice of Statistics</w:t>
      </w:r>
      <w:r>
        <w:t xml:space="preserve">: traditional, more math-heavy, detailed.</w:t>
      </w:r>
    </w:p>
    <w:p>
      <w:pPr>
        <w:pStyle w:val="Compact"/>
        <w:numPr>
          <w:ilvl w:val="0"/>
          <w:numId w:val="1002"/>
        </w:numPr>
      </w:pPr>
      <w:r>
        <w:rPr>
          <w:b/>
          <w:bCs/>
        </w:rPr>
        <w:t xml:space="preserve">PNA</w:t>
      </w:r>
      <w:r>
        <w:t xml:space="preserve"> </w:t>
      </w:r>
      <w:r>
        <w:rPr>
          <w:i/>
          <w:iCs/>
        </w:rPr>
        <w:t xml:space="preserve">Applied Statistics for Public and Nonprofit Administration</w:t>
      </w:r>
      <w:r>
        <w:t xml:space="preserve">: focused on applied public administration, still detailed. Sequenced differently.</w:t>
      </w:r>
    </w:p>
    <w:p>
      <w:pPr>
        <w:pStyle w:val="Compact"/>
        <w:numPr>
          <w:ilvl w:val="0"/>
          <w:numId w:val="1002"/>
        </w:numPr>
      </w:pPr>
      <w:r>
        <w:rPr>
          <w:b/>
          <w:bCs/>
        </w:rPr>
        <w:t xml:space="preserve">MtM</w:t>
      </w:r>
      <w:r>
        <w:t xml:space="preserve"> </w:t>
      </w:r>
      <w:r>
        <w:rPr>
          <w:i/>
          <w:iCs/>
        </w:rPr>
        <w:t xml:space="preserve">Minus the Math</w:t>
      </w:r>
      <w:r>
        <w:t xml:space="preserve">: conceptual, common-language, intuition-focused, but light on probability and detail.</w:t>
      </w:r>
    </w:p>
    <w:p>
      <w:pPr>
        <w:pStyle w:val="FirstParagraph"/>
      </w:pPr>
      <w:r>
        <w:t xml:space="preserve">You may use any as your primary reference. If you need more depth, consult</w:t>
      </w:r>
      <w:r>
        <w:t xml:space="preserve"> </w:t>
      </w:r>
      <w:r>
        <w:rPr>
          <w:b/>
          <w:bCs/>
        </w:rPr>
        <w:t xml:space="preserve">STA</w:t>
      </w:r>
      <w:r>
        <w:t xml:space="preserve"> </w:t>
      </w:r>
      <w:r>
        <w:t xml:space="preserve">or</w:t>
      </w:r>
      <w:r>
        <w:t xml:space="preserve"> </w:t>
      </w:r>
      <w:r>
        <w:rPr>
          <w:b/>
          <w:bCs/>
        </w:rPr>
        <w:t xml:space="preserve">PNA</w:t>
      </w:r>
      <w:r>
        <w:t xml:space="preserve">. If you want lighter or more intuitive explanations, lean on</w:t>
      </w:r>
      <w:r>
        <w:t xml:space="preserve"> </w:t>
      </w:r>
      <w:r>
        <w:rPr>
          <w:b/>
          <w:bCs/>
        </w:rPr>
        <w:t xml:space="preserve">MtM</w:t>
      </w:r>
      <w:r>
        <w:t xml:space="preserve">.</w:t>
      </w:r>
      <w:r>
        <w:t xml:space="preserve"> </w:t>
      </w:r>
      <w:r>
        <w:rPr>
          <w:b/>
          <w:bCs/>
        </w:rPr>
        <w:t xml:space="preserve">STA</w:t>
      </w:r>
      <w:r>
        <w:t xml:space="preserve"> </w:t>
      </w:r>
      <w:r>
        <w:t xml:space="preserve">is the</w:t>
      </w:r>
      <w:r>
        <w:t xml:space="preserve"> </w:t>
      </w:r>
      <w:r>
        <w:t xml:space="preserve">“default”</w:t>
      </w:r>
      <w:r>
        <w:t xml:space="preserve"> </w:t>
      </w:r>
      <w:r>
        <w:t xml:space="preserve">text for the class - the one the syllabus was built around.</w:t>
      </w:r>
      <w:r>
        <w:t xml:space="preserve"> </w:t>
      </w:r>
      <w:r>
        <w:rPr>
          <w:b/>
          <w:bCs/>
        </w:rPr>
        <w:t xml:space="preserve">PNA</w:t>
      </w:r>
      <w:r>
        <w:t xml:space="preserve"> </w:t>
      </w:r>
      <w:r>
        <w:t xml:space="preserve">has lots of good examples from Public Administration, but the content sequencing is more intuitive in</w:t>
      </w:r>
      <w:r>
        <w:t xml:space="preserve"> </w:t>
      </w:r>
      <w:r>
        <w:rPr>
          <w:b/>
          <w:bCs/>
        </w:rPr>
        <w:t xml:space="preserve">STA</w:t>
      </w:r>
      <w:r>
        <w:t xml:space="preserve">, so we follow that order.</w:t>
      </w:r>
    </w:p>
    <w:p>
      <w:pPr>
        <w:pStyle w:val="BodyText"/>
      </w:pPr>
      <w:r>
        <w:t xml:space="preserve">We will cover the above material in sequence, with particular readings recommended for each day announced in class (and in slides) ahead of time where appropriate. In general, if you need to prioritize, make sure to focus on your weekly assignment first, and readings second.</w:t>
      </w:r>
    </w:p>
    <w:bookmarkEnd w:id="27"/>
    <w:bookmarkEnd w:id="2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25" Target="https://minusthemath.com" TargetMode="External" /><Relationship Type="http://schemas.openxmlformats.org/officeDocument/2006/relationships/hyperlink" Id="rId24" Target="https://www.amazon.com/Applied-Statistics-Public-Nonprofit-Administration/dp/1285737237" TargetMode="External" /><Relationship Type="http://schemas.openxmlformats.org/officeDocument/2006/relationships/hyperlink" Id="rId23" Target="https://www.amazon.com/Introduction-Practice-Statistics-David-Moore/dp/1319013384/" TargetMode="External" /></Relationships>
</file>

<file path=word/_rels/footnotes.xml.rels><?xml version="1.0" encoding="UTF-8"?><Relationships xmlns="http://schemas.openxmlformats.org/package/2006/relationships"><Relationship Type="http://schemas.openxmlformats.org/officeDocument/2006/relationships/hyperlink" Id="rId25" Target="https://minusthemath.com" TargetMode="External" /><Relationship Type="http://schemas.openxmlformats.org/officeDocument/2006/relationships/hyperlink" Id="rId24" Target="https://www.amazon.com/Applied-Statistics-Public-Nonprofit-Administration/dp/1285737237" TargetMode="External" /><Relationship Type="http://schemas.openxmlformats.org/officeDocument/2006/relationships/hyperlink" Id="rId23" Target="https://www.amazon.com/Introduction-Practice-Statistics-David-Moore/dp/131901338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Statistics</dc:title>
  <dc:creator/>
  <cp:keywords/>
  <dcterms:created xsi:type="dcterms:W3CDTF">2025-08-26T17:18:39Z</dcterms:created>
  <dcterms:modified xsi:type="dcterms:W3CDTF">2025-08-26T17:18:39Z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