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Rough Draft</w:t>
      </w:r>
    </w:p>
    <w:p>
      <w:pPr>
        <w:pStyle w:val="Subtitle"/>
      </w:pPr>
      <w:r>
        <w:t xml:space="preserve">Due Week 11 (Friday, November 6)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11 (Friday, November 6)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This page outlines the</w:t>
      </w:r>
      <w:r>
        <w:t xml:space="preserve"> </w:t>
      </w:r>
      <w:r>
        <w:rPr>
          <w:b/>
          <w:bCs/>
        </w:rPr>
        <w:t xml:space="preserve">minimum requirements</w:t>
      </w:r>
      <w:r>
        <w:t xml:space="preserve"> </w:t>
      </w:r>
      <w:r>
        <w:t xml:space="preserve">for the rough draft of your final</w:t>
      </w:r>
      <w:r>
        <w:t xml:space="preserve"> </w:t>
      </w:r>
      <w:r>
        <w:t xml:space="preserve">report. These are only the minimum requirements, and you should aim to have your</w:t>
      </w:r>
      <w:r>
        <w:t xml:space="preserve"> </w:t>
      </w:r>
      <w:r>
        <w:t xml:space="preserve">rough draft as complete as possible. Your UCA will provide you with comprehensive</w:t>
      </w:r>
      <w:r>
        <w:t xml:space="preserve"> </w:t>
      </w:r>
      <w:r>
        <w:t xml:space="preserve">feedback on your rough draft, so the more you include, the more mistakes will be</w:t>
      </w:r>
      <w:r>
        <w:t xml:space="preserve"> </w:t>
      </w:r>
      <w:r>
        <w:t xml:space="preserve">caught before your final draft.</w:t>
      </w:r>
    </w:p>
    <w:p>
      <w:pPr>
        <w:pStyle w:val="BodyText"/>
      </w:pPr>
      <w:r>
        <w:t xml:space="preserve">As always, if you are concerned about being able to complete the rough draft</w:t>
      </w:r>
      <w:r>
        <w:t xml:space="preserve"> </w:t>
      </w:r>
      <w:r>
        <w:t xml:space="preserve">requirements on time, please speak to your UCA.</w:t>
      </w:r>
    </w:p>
    <w:p>
      <w:pPr>
        <w:pStyle w:val="BodyText"/>
      </w:pPr>
      <w:r>
        <w:t xml:space="preserve">Rough drafts are graded on a three-point scale. Rough drafts that are submitted</w:t>
      </w:r>
      <w:r>
        <w:t xml:space="preserve"> </w:t>
      </w:r>
      <w:r>
        <w:t xml:space="preserve">on time and meet</w:t>
      </w:r>
      <w:r>
        <w:t xml:space="preserve"> </w:t>
      </w:r>
      <w:r>
        <w:rPr>
          <w:b/>
          <w:bCs/>
        </w:rPr>
        <w:t xml:space="preserve">all</w:t>
      </w:r>
      <w:r>
        <w:t xml:space="preserve"> </w:t>
      </w:r>
      <w:r>
        <w:t xml:space="preserve">of the requirements listed here will receive all three</w:t>
      </w:r>
      <w:r>
        <w:t xml:space="preserve"> </w:t>
      </w:r>
      <w:r>
        <w:t xml:space="preserve">points.</w:t>
      </w:r>
    </w:p>
    <w:p>
      <w:pPr>
        <w:pStyle w:val="BodyText"/>
      </w:pPr>
      <w:r>
        <w:rPr>
          <w:i/>
          <w:iCs/>
        </w:rPr>
        <w:t xml:space="preserve">Hint: look at the UCA example reports on Blackboard for additional guidance.</w:t>
      </w:r>
    </w:p>
    <w:bookmarkEnd w:id="9"/>
    <w:bookmarkStart w:id="23" w:name="minimum-requirements"/>
    <w:p>
      <w:pPr>
        <w:pStyle w:val="Heading2"/>
      </w:pPr>
      <w:r>
        <w:t xml:space="preserve">Minimum requirements</w:t>
      </w:r>
    </w:p>
    <w:bookmarkStart w:id="12" w:name="formatting"/>
    <w:p>
      <w:pPr>
        <w:pStyle w:val="Heading3"/>
      </w:pPr>
      <w:r>
        <w:t xml:space="preserve">Formatting</w:t>
      </w:r>
    </w:p>
    <w:p>
      <w:pPr>
        <w:pStyle w:val="Compact"/>
        <w:numPr>
          <w:ilvl w:val="0"/>
          <w:numId w:val="1002"/>
        </w:numPr>
      </w:pPr>
      <w:r>
        <w:t xml:space="preserve">Cover page</w:t>
      </w:r>
    </w:p>
    <w:p>
      <w:pPr>
        <w:pStyle w:val="Compact"/>
        <w:numPr>
          <w:ilvl w:val="0"/>
          <w:numId w:val="1002"/>
        </w:numPr>
      </w:pPr>
      <w:r>
        <w:t xml:space="preserve">Headings in correct places</w:t>
      </w:r>
    </w:p>
    <w:p>
      <w:pPr>
        <w:pStyle w:val="Compact"/>
        <w:numPr>
          <w:ilvl w:val="0"/>
          <w:numId w:val="1002"/>
        </w:numPr>
      </w:pPr>
      <w:r>
        <w:t xml:space="preserve">Footers and page numbers</w:t>
      </w:r>
    </w:p>
    <w:p>
      <w:pPr>
        <w:pStyle w:val="Compact"/>
        <w:numPr>
          <w:ilvl w:val="0"/>
          <w:numId w:val="1002"/>
        </w:numPr>
      </w:pPr>
      <w:r>
        <w:t xml:space="preserve">The following sections: Executive Summary, Introduction, Methods, Findings,</w:t>
      </w:r>
      <w:r>
        <w:t xml:space="preserve"> </w:t>
      </w:r>
      <w:r>
        <w:t xml:space="preserve">and Appendices (Appendix I, Appendix II, Appendix III, and as needed Appendix</w:t>
      </w:r>
      <w:r>
        <w:t xml:space="preserve"> </w:t>
      </w:r>
      <w:r>
        <w:t xml:space="preserve">IV and V)</w:t>
      </w:r>
    </w:p>
    <w:p>
      <w:pPr>
        <w:pStyle w:val="FirstParagraph"/>
      </w:pPr>
      <w:r>
        <w:rPr>
          <w:i/>
          <w:iCs/>
        </w:rPr>
        <w:t xml:space="preserve">Hint: see the</w:t>
      </w:r>
      <w:r>
        <w:rPr>
          <w:i/>
          <w:iCs/>
        </w:rPr>
        <w:t xml:space="preserve"> </w:t>
      </w:r>
      <w:hyperlink r:id="rId10">
        <w:r>
          <w:rPr>
            <w:rStyle w:val="Hyperlink"/>
            <w:i/>
            <w:iCs/>
          </w:rPr>
          <w:t xml:space="preserve">Formatted Report Shell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and the</w:t>
      </w:r>
      <w:r>
        <w:rPr>
          <w:i/>
          <w:iCs/>
        </w:rPr>
        <w:t xml:space="preserve"> </w:t>
      </w:r>
      <w:hyperlink r:id="rId11">
        <w:r>
          <w:rPr>
            <w:rStyle w:val="Hyperlink"/>
            <w:i/>
            <w:iCs/>
          </w:rPr>
          <w:t xml:space="preserve">Footers and Section Breaks Guide</w:t>
        </w:r>
      </w:hyperlink>
      <w:r>
        <w:rPr>
          <w:i/>
          <w:iCs/>
        </w:rPr>
        <w:t xml:space="preserve">.</w:t>
      </w:r>
    </w:p>
    <w:bookmarkEnd w:id="12"/>
    <w:bookmarkStart w:id="14" w:name="executive-summary"/>
    <w:p>
      <w:pPr>
        <w:pStyle w:val="Heading3"/>
      </w:pPr>
      <w:r>
        <w:t xml:space="preserve">Executive summary</w:t>
      </w:r>
    </w:p>
    <w:p>
      <w:pPr>
        <w:pStyle w:val="Compact"/>
        <w:numPr>
          <w:ilvl w:val="0"/>
          <w:numId w:val="1003"/>
        </w:numPr>
      </w:pPr>
      <w:r>
        <w:t xml:space="preserve">Completed executive summary</w:t>
      </w:r>
    </w:p>
    <w:p>
      <w:pPr>
        <w:pStyle w:val="Compact"/>
        <w:numPr>
          <w:ilvl w:val="0"/>
          <w:numId w:val="1003"/>
        </w:numPr>
      </w:pPr>
      <w:r>
        <w:t xml:space="preserve">Four finding statements should be complete; the rest may use X as a placeholder</w:t>
      </w:r>
    </w:p>
    <w:p>
      <w:pPr>
        <w:pStyle w:val="FirstParagraph"/>
      </w:pPr>
      <w:r>
        <w:rPr>
          <w:i/>
          <w:iCs/>
        </w:rPr>
        <w:t xml:space="preserve">Hint: see the</w:t>
      </w:r>
      <w:r>
        <w:rPr>
          <w:i/>
          <w:iCs/>
        </w:rPr>
        <w:t xml:space="preserve"> </w:t>
      </w:r>
      <w:hyperlink r:id="rId13">
        <w:r>
          <w:rPr>
            <w:rStyle w:val="Hyperlink"/>
            <w:i/>
            <w:iCs/>
          </w:rPr>
          <w:t xml:space="preserve">Executive Summary Guide</w:t>
        </w:r>
      </w:hyperlink>
      <w:r>
        <w:rPr>
          <w:i/>
          <w:iCs/>
        </w:rPr>
        <w:t xml:space="preserve">.</w:t>
      </w:r>
    </w:p>
    <w:bookmarkEnd w:id="14"/>
    <w:bookmarkStart w:id="16" w:name="introduction"/>
    <w:p>
      <w:pPr>
        <w:pStyle w:val="Heading3"/>
      </w:pPr>
      <w:r>
        <w:t xml:space="preserve">Introduction</w:t>
      </w:r>
    </w:p>
    <w:p>
      <w:pPr>
        <w:pStyle w:val="Compact"/>
        <w:numPr>
          <w:ilvl w:val="0"/>
          <w:numId w:val="1004"/>
        </w:numPr>
      </w:pPr>
      <w:r>
        <w:t xml:space="preserve">Completed introduction</w:t>
      </w:r>
    </w:p>
    <w:p>
      <w:pPr>
        <w:pStyle w:val="FirstParagraph"/>
      </w:pPr>
      <w:r>
        <w:rPr>
          <w:i/>
          <w:iCs/>
        </w:rPr>
        <w:t xml:space="preserve">Hint: see the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Introduction and Methods Guide</w:t>
        </w:r>
      </w:hyperlink>
      <w:r>
        <w:rPr>
          <w:i/>
          <w:iCs/>
        </w:rPr>
        <w:t xml:space="preserve">.</w:t>
      </w:r>
    </w:p>
    <w:bookmarkEnd w:id="16"/>
    <w:bookmarkStart w:id="17" w:name="methods"/>
    <w:p>
      <w:pPr>
        <w:pStyle w:val="Heading3"/>
      </w:pPr>
      <w:r>
        <w:t xml:space="preserve">Methods</w:t>
      </w:r>
    </w:p>
    <w:p>
      <w:pPr>
        <w:pStyle w:val="Compact"/>
        <w:numPr>
          <w:ilvl w:val="0"/>
          <w:numId w:val="1005"/>
        </w:numPr>
      </w:pPr>
      <w:r>
        <w:t xml:space="preserve">Completed methods page</w:t>
      </w:r>
    </w:p>
    <w:p>
      <w:pPr>
        <w:pStyle w:val="Compact"/>
        <w:numPr>
          <w:ilvl w:val="0"/>
          <w:numId w:val="1005"/>
        </w:numPr>
      </w:pPr>
      <w:r>
        <w:t xml:space="preserve">If your methods section requires the use of graphs, you must include these</w:t>
      </w:r>
    </w:p>
    <w:p>
      <w:pPr>
        <w:pStyle w:val="FirstParagraph"/>
      </w:pPr>
      <w:r>
        <w:rPr>
          <w:i/>
          <w:iCs/>
        </w:rPr>
        <w:t xml:space="preserve">Hint: see the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Introduction and Methods Guide</w:t>
        </w:r>
      </w:hyperlink>
      <w:r>
        <w:rPr>
          <w:i/>
          <w:iCs/>
        </w:rPr>
        <w:t xml:space="preserve">.</w:t>
      </w:r>
    </w:p>
    <w:bookmarkEnd w:id="17"/>
    <w:bookmarkStart w:id="20" w:name="findings"/>
    <w:p>
      <w:pPr>
        <w:pStyle w:val="Heading3"/>
      </w:pPr>
      <w:r>
        <w:t xml:space="preserve">Findings</w:t>
      </w:r>
    </w:p>
    <w:p>
      <w:pPr>
        <w:pStyle w:val="Compact"/>
        <w:numPr>
          <w:ilvl w:val="0"/>
          <w:numId w:val="1006"/>
        </w:numPr>
      </w:pPr>
      <w:r>
        <w:t xml:space="preserve">Four findings and accompanying graphs, sources, and comments</w:t>
      </w:r>
    </w:p>
    <w:p>
      <w:pPr>
        <w:pStyle w:val="Compact"/>
        <w:numPr>
          <w:ilvl w:val="0"/>
          <w:numId w:val="1006"/>
        </w:numPr>
      </w:pPr>
      <w:r>
        <w:t xml:space="preserve">Formatted according to the</w:t>
      </w:r>
      <w:r>
        <w:t xml:space="preserve"> </w:t>
      </w:r>
      <w:hyperlink r:id="rId18">
        <w:r>
          <w:rPr>
            <w:rStyle w:val="Hyperlink"/>
          </w:rPr>
          <w:t xml:space="preserve">PST 315 Graphing Guidelines</w:t>
        </w:r>
      </w:hyperlink>
    </w:p>
    <w:p>
      <w:pPr>
        <w:pStyle w:val="Compact"/>
        <w:numPr>
          <w:ilvl w:val="0"/>
          <w:numId w:val="1006"/>
        </w:numPr>
      </w:pPr>
      <w:r>
        <w:t xml:space="preserve">As a reminder, your final report requires</w:t>
      </w:r>
      <w:r>
        <w:t xml:space="preserve"> </w:t>
      </w:r>
      <w:r>
        <w:rPr>
          <w:b/>
          <w:bCs/>
        </w:rPr>
        <w:t xml:space="preserve">seven</w:t>
      </w:r>
      <w:r>
        <w:t xml:space="preserve"> </w:t>
      </w:r>
      <w:r>
        <w:t xml:space="preserve">findings</w:t>
      </w:r>
    </w:p>
    <w:p>
      <w:pPr>
        <w:pStyle w:val="FirstParagraph"/>
      </w:pPr>
      <w:r>
        <w:rPr>
          <w:i/>
          <w:iCs/>
        </w:rPr>
        <w:t xml:space="preserve">Hint: see the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Findings Guide</w:t>
        </w:r>
      </w:hyperlink>
      <w:r>
        <w:rPr>
          <w:i/>
          <w:iCs/>
        </w:rPr>
        <w:t xml:space="preserve">.</w:t>
      </w:r>
    </w:p>
    <w:bookmarkEnd w:id="20"/>
    <w:bookmarkStart w:id="22" w:name="appendices"/>
    <w:p>
      <w:pPr>
        <w:pStyle w:val="Heading3"/>
      </w:pPr>
      <w:r>
        <w:t xml:space="preserve">Appendices</w:t>
      </w:r>
    </w:p>
    <w:p>
      <w:pPr>
        <w:pStyle w:val="Compact"/>
        <w:numPr>
          <w:ilvl w:val="0"/>
          <w:numId w:val="1007"/>
        </w:numPr>
      </w:pPr>
      <w:r>
        <w:t xml:space="preserve">Appendices page includes a table of contents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Appendix I – Research Questions:</w:t>
      </w:r>
      <w:r>
        <w:t xml:space="preserve"> </w:t>
      </w:r>
      <w:r>
        <w:t xml:space="preserve">must be completed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Appendix II – Data Frequencies:</w:t>
      </w:r>
      <w:r>
        <w:t xml:space="preserve"> </w:t>
      </w:r>
      <w:r>
        <w:t xml:space="preserve">data frequencies from at least four</w:t>
      </w:r>
      <w:r>
        <w:t xml:space="preserve"> </w:t>
      </w:r>
      <w:r>
        <w:t xml:space="preserve">findings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Appendix III – Codebook and Spreadsheet:</w:t>
      </w:r>
      <w:r>
        <w:t xml:space="preserve"> </w:t>
      </w:r>
      <w:r>
        <w:t xml:space="preserve">must be completed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Appendix IV – Open-Ended Responses:</w:t>
      </w:r>
      <w:r>
        <w:t xml:space="preserve"> </w:t>
      </w:r>
      <w:r>
        <w:t xml:space="preserve">if your report requires Appendix IV,</w:t>
      </w:r>
      <w:r>
        <w:t xml:space="preserve"> </w:t>
      </w:r>
      <w:r>
        <w:t xml:space="preserve">you should have this section about 25% completed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Appendix V – Disaggregated Graphs:</w:t>
      </w:r>
      <w:r>
        <w:t xml:space="preserve"> </w:t>
      </w:r>
      <w:r>
        <w:t xml:space="preserve">if your report requires Appendix V, you</w:t>
      </w:r>
      <w:r>
        <w:t xml:space="preserve"> </w:t>
      </w:r>
      <w:r>
        <w:t xml:space="preserve">should have this section about 25% completed</w:t>
      </w:r>
    </w:p>
    <w:p>
      <w:pPr>
        <w:pStyle w:val="FirstParagraph"/>
      </w:pPr>
      <w:r>
        <w:rPr>
          <w:i/>
          <w:iCs/>
        </w:rPr>
        <w:t xml:space="preserve">Hint: see the</w:t>
      </w:r>
      <w:r>
        <w:rPr>
          <w:i/>
          <w:iCs/>
        </w:rPr>
        <w:t xml:space="preserve"> </w:t>
      </w:r>
      <w:hyperlink r:id="rId21">
        <w:r>
          <w:rPr>
            <w:rStyle w:val="Hyperlink"/>
            <w:i/>
            <w:iCs/>
          </w:rPr>
          <w:t xml:space="preserve">Appendices Guide</w:t>
        </w:r>
      </w:hyperlink>
      <w:r>
        <w:rPr>
          <w:i/>
          <w:iCs/>
        </w:rPr>
        <w:t xml:space="preserve">.</w:t>
      </w:r>
    </w:p>
    <w:bookmarkEnd w:id="22"/>
    <w:bookmarkEnd w:id="23"/>
    <w:bookmarkStart w:id="25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guidelines apply to this assignment:</w:t>
      </w:r>
    </w:p>
    <w:p>
      <w:pPr>
        <w:pStyle w:val="Compact"/>
        <w:numPr>
          <w:ilvl w:val="0"/>
          <w:numId w:val="1008"/>
        </w:numPr>
      </w:pPr>
      <w:hyperlink r:id="rId13">
        <w:r>
          <w:rPr>
            <w:rStyle w:val="Hyperlink"/>
          </w:rPr>
          <w:t xml:space="preserve">Executive Summary Guide</w:t>
        </w:r>
      </w:hyperlink>
      <w:r>
        <w:t xml:space="preserve"> </w:t>
      </w:r>
      <w:r>
        <w:t xml:space="preserve">– How to write and format your executive summary.</w:t>
      </w:r>
    </w:p>
    <w:p>
      <w:pPr>
        <w:pStyle w:val="Compact"/>
        <w:numPr>
          <w:ilvl w:val="0"/>
          <w:numId w:val="1008"/>
        </w:numPr>
      </w:pPr>
      <w:hyperlink r:id="rId15">
        <w:r>
          <w:rPr>
            <w:rStyle w:val="Hyperlink"/>
          </w:rPr>
          <w:t xml:space="preserve">Introduction and Methods Guide</w:t>
        </w:r>
      </w:hyperlink>
      <w:r>
        <w:t xml:space="preserve"> </w:t>
      </w:r>
      <w:r>
        <w:t xml:space="preserve">– How to write the introduction and methods sections of your report.</w:t>
      </w:r>
    </w:p>
    <w:p>
      <w:pPr>
        <w:pStyle w:val="Compact"/>
        <w:numPr>
          <w:ilvl w:val="0"/>
          <w:numId w:val="1008"/>
        </w:numPr>
      </w:pPr>
      <w:hyperlink r:id="rId19">
        <w:r>
          <w:rPr>
            <w:rStyle w:val="Hyperlink"/>
          </w:rPr>
          <w:t xml:space="preserve">Findings Guide</w:t>
        </w:r>
      </w:hyperlink>
      <w:r>
        <w:t xml:space="preserve"> </w:t>
      </w:r>
      <w:r>
        <w:t xml:space="preserve">– How to lay out a findings page: statement, graph, source, comment.</w:t>
      </w:r>
    </w:p>
    <w:p>
      <w:pPr>
        <w:pStyle w:val="Compact"/>
        <w:numPr>
          <w:ilvl w:val="0"/>
          <w:numId w:val="1008"/>
        </w:numPr>
      </w:pPr>
      <w:hyperlink r:id="rId18">
        <w:r>
          <w:rPr>
            <w:rStyle w:val="Hyperlink"/>
          </w:rPr>
          <w:t xml:space="preserve">PST 315 Graphing Guidelines</w:t>
        </w:r>
      </w:hyperlink>
      <w:r>
        <w:t xml:space="preserve"> </w:t>
      </w:r>
      <w:r>
        <w:t xml:space="preserve">– The formatting rules every graph in your report must follow.</w:t>
      </w:r>
    </w:p>
    <w:p>
      <w:pPr>
        <w:pStyle w:val="Compact"/>
        <w:numPr>
          <w:ilvl w:val="0"/>
          <w:numId w:val="1008"/>
        </w:numPr>
      </w:pPr>
      <w:hyperlink r:id="rId21">
        <w:r>
          <w:rPr>
            <w:rStyle w:val="Hyperlink"/>
          </w:rPr>
          <w:t xml:space="preserve">Appendices Guide</w:t>
        </w:r>
      </w:hyperlink>
      <w:r>
        <w:t xml:space="preserve"> </w:t>
      </w:r>
      <w:r>
        <w:t xml:space="preserve">– What belongs in each of the five appendices.</w:t>
      </w:r>
    </w:p>
    <w:p>
      <w:pPr>
        <w:pStyle w:val="Compact"/>
        <w:numPr>
          <w:ilvl w:val="0"/>
          <w:numId w:val="1008"/>
        </w:numPr>
      </w:pPr>
      <w:hyperlink r:id="rId11">
        <w:r>
          <w:rPr>
            <w:rStyle w:val="Hyperlink"/>
          </w:rPr>
          <w:t xml:space="preserve">Footers and Section Breaks Guide</w:t>
        </w:r>
      </w:hyperlink>
      <w:r>
        <w:t xml:space="preserve"> </w:t>
      </w:r>
      <w:r>
        <w:t xml:space="preserve">– How to edit footers, align page numbers, and delete section breaks.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24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1" Target="../guidelines/appendices.qmd" TargetMode="External" /><Relationship Type="http://schemas.openxmlformats.org/officeDocument/2006/relationships/hyperlink" Id="rId13" Target="../guidelines/executive-summary.qmd" TargetMode="External" /><Relationship Type="http://schemas.openxmlformats.org/officeDocument/2006/relationships/hyperlink" Id="rId19" Target="../guidelines/findings.qmd" TargetMode="External" /><Relationship Type="http://schemas.openxmlformats.org/officeDocument/2006/relationships/hyperlink" Id="rId11" Target="../guidelines/footers-and-section-breaks.qmd" TargetMode="External" /><Relationship Type="http://schemas.openxmlformats.org/officeDocument/2006/relationships/hyperlink" Id="rId18" Target="../guidelines/graphing.qmd" TargetMode="External" /><Relationship Type="http://schemas.openxmlformats.org/officeDocument/2006/relationships/hyperlink" Id="rId24" Target="../guidelines/index.qmd" TargetMode="External" /><Relationship Type="http://schemas.openxmlformats.org/officeDocument/2006/relationships/hyperlink" Id="rId15" Target="../guidelines/introduction-and-methods.qmd" TargetMode="External" /><Relationship Type="http://schemas.openxmlformats.org/officeDocument/2006/relationships/hyperlink" Id="rId10" Target="12-formatted-report-shell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guidelines/appendices.qmd" TargetMode="External" /><Relationship Type="http://schemas.openxmlformats.org/officeDocument/2006/relationships/hyperlink" Id="rId13" Target="../guidelines/executive-summary.qmd" TargetMode="External" /><Relationship Type="http://schemas.openxmlformats.org/officeDocument/2006/relationships/hyperlink" Id="rId19" Target="../guidelines/findings.qmd" TargetMode="External" /><Relationship Type="http://schemas.openxmlformats.org/officeDocument/2006/relationships/hyperlink" Id="rId11" Target="../guidelines/footers-and-section-breaks.qmd" TargetMode="External" /><Relationship Type="http://schemas.openxmlformats.org/officeDocument/2006/relationships/hyperlink" Id="rId18" Target="../guidelines/graphing.qmd" TargetMode="External" /><Relationship Type="http://schemas.openxmlformats.org/officeDocument/2006/relationships/hyperlink" Id="rId24" Target="../guidelines/index.qmd" TargetMode="External" /><Relationship Type="http://schemas.openxmlformats.org/officeDocument/2006/relationships/hyperlink" Id="rId15" Target="../guidelines/introduction-and-methods.qmd" TargetMode="External" /><Relationship Type="http://schemas.openxmlformats.org/officeDocument/2006/relationships/hyperlink" Id="rId10" Target="12-formatted-report-shell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Rough Draft</dc:title>
  <dc:creator>Prof. Jack Reilly</dc:creator>
  <cp:keywords/>
  <dcterms:created xsi:type="dcterms:W3CDTF">2026-08-26T16:49:11Z</dcterms:created>
  <dcterms:modified xsi:type="dcterms:W3CDTF">2026-08-26T16:49:11Z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11 (Friday, November 6)</vt:lpwstr>
  </property>
  <property fmtid="{D5CDD505-2E9C-101B-9397-08002B2CF9AE}" pid="13" name="toc-title">
    <vt:lpwstr>Table of contents</vt:lpwstr>
  </property>
</Properties>
</file>