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Appendices Guide</w:t>
      </w:r>
    </w:p>
    <w:p>
      <w:pPr>
        <w:pStyle w:val="Subtitle"/>
      </w:pPr>
      <w:r>
        <w:t xml:space="preserve">PST 315: Methods of Policy Analysis and Presentation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FirstParagraph"/>
      </w:pPr>
      <w:r>
        <w:t xml:space="preserve">Your Appendices section will contain Appendix I, II, III, and depending on your</w:t>
      </w:r>
      <w:r>
        <w:t xml:space="preserve"> </w:t>
      </w:r>
      <w:r>
        <w:t xml:space="preserve">project, Appendix IV and V. If you do not have disaggregated graphs or open-ended</w:t>
      </w:r>
      <w:r>
        <w:t xml:space="preserve"> </w:t>
      </w:r>
      <w:r>
        <w:t xml:space="preserve">responses, take out Appendix IV or V from the Table of Contents as necessary.</w:t>
      </w:r>
    </w:p>
    <w:p>
      <w:pPr>
        <w:pStyle w:val="BlockText"/>
      </w:pPr>
      <w:r>
        <w:t xml:space="preserve">Appendices are very customized to each individual project. Be sure to discuss</w:t>
      </w:r>
      <w:r>
        <w:t xml:space="preserve"> </w:t>
      </w:r>
      <w:r>
        <w:t xml:space="preserve">with your UCA what your appendices might look like specific to your project.</w:t>
      </w:r>
    </w:p>
    <w:p>
      <w:pPr>
        <w:pStyle w:val="BlockText"/>
      </w:pPr>
      <w:r>
        <w:rPr>
          <w:b/>
          <w:bCs/>
        </w:rPr>
        <w:t xml:space="preserve">About these examples</w:t>
      </w:r>
    </w:p>
    <w:p>
      <w:pPr>
        <w:pStyle w:val="BlockText"/>
      </w:pPr>
      <w:r>
        <w:t xml:space="preserve">The examples below use</w:t>
      </w:r>
      <w:r>
        <w:t xml:space="preserve"> </w:t>
      </w:r>
      <w:r>
        <w:rPr>
          <w:b/>
          <w:bCs/>
        </w:rPr>
        <w:t xml:space="preserve">sample data</w:t>
      </w:r>
      <w:r>
        <w:t xml:space="preserve">. Skills Win Coaching Organization is a real</w:t>
      </w:r>
      <w:r>
        <w:t xml:space="preserve"> </w:t>
      </w:r>
      <w:r>
        <w:t xml:space="preserve">Syracuse University program, but the survey, responses, and numbers shown here are</w:t>
      </w:r>
      <w:r>
        <w:t xml:space="preserve"> </w:t>
      </w:r>
      <w:r>
        <w:t xml:space="preserve">invented for teaching purposes and are not actual SWCO results.</w:t>
      </w:r>
    </w:p>
    <w:bookmarkStart w:id="9" w:name="appendix-i-research-questions"/>
    <w:p>
      <w:pPr>
        <w:pStyle w:val="Heading2"/>
      </w:pPr>
      <w:r>
        <w:t xml:space="preserve">Appendix I – Research Questions</w:t>
      </w:r>
    </w:p>
    <w:p>
      <w:pPr>
        <w:pStyle w:val="FirstParagraph"/>
      </w:pPr>
      <w:r>
        <w:t xml:space="preserve">Appendix I shows the questions you are aiming to answer through your project. If</w:t>
      </w:r>
      <w:r>
        <w:t xml:space="preserve"> </w:t>
      </w:r>
      <w:r>
        <w:t xml:space="preserve">you conducted a survey, this section will contain screenshots of your survey. If</w:t>
      </w:r>
      <w:r>
        <w:t xml:space="preserve"> </w:t>
      </w:r>
      <w:r>
        <w:t xml:space="preserve">your project is related to data collection or analysis, you will paste your</w:t>
      </w:r>
      <w:r>
        <w:t xml:space="preserve"> </w:t>
      </w:r>
      <w:r>
        <w:t xml:space="preserve">research questions into this section.</w:t>
      </w:r>
    </w:p>
    <w:p>
      <w:pPr>
        <w:pStyle w:val="BodyText"/>
      </w:pPr>
      <w:r>
        <w:t xml:space="preserve">If your project is a survey, take a screenshot of your survey (whether it’s a</w:t>
      </w:r>
      <w:r>
        <w:t xml:space="preserve"> </w:t>
      </w:r>
      <w:r>
        <w:t xml:space="preserve">paper survey or digital survey) and insert your screenshot(s) into Appendix I.</w:t>
      </w:r>
      <w:r>
        <w:t xml:space="preserve"> </w:t>
      </w:r>
      <w:r>
        <w:t xml:space="preserve">Make sure your screenshot includes all questions asked in your survey.</w:t>
      </w:r>
    </w:p>
    <w:p>
      <w:pPr>
        <w:pStyle w:val="BodyText"/>
      </w:pPr>
      <w:r>
        <w:t xml:space="preserve">If your project is not a survey, directly paste your research questions into</w:t>
      </w:r>
      <w:r>
        <w:t xml:space="preserve"> </w:t>
      </w:r>
      <w:r>
        <w:t xml:space="preserve">Appendix I, like this:</w:t>
      </w:r>
    </w:p>
    <w:p>
      <w:pPr>
        <w:pStyle w:val="Compact"/>
        <w:numPr>
          <w:ilvl w:val="0"/>
          <w:numId w:val="1001"/>
        </w:numPr>
      </w:pPr>
      <w:r>
        <w:t xml:space="preserve">How helpful did students find the site session coaches?</w:t>
      </w:r>
    </w:p>
    <w:p>
      <w:pPr>
        <w:pStyle w:val="Compact"/>
        <w:numPr>
          <w:ilvl w:val="0"/>
          <w:numId w:val="1001"/>
        </w:numPr>
      </w:pPr>
      <w:r>
        <w:t xml:space="preserve">How engaging did students find the site session exercises?</w:t>
      </w:r>
    </w:p>
    <w:p>
      <w:pPr>
        <w:pStyle w:val="Compact"/>
        <w:numPr>
          <w:ilvl w:val="0"/>
          <w:numId w:val="1001"/>
        </w:numPr>
      </w:pPr>
      <w:r>
        <w:t xml:space="preserve">Did student views on the exercises differ by site?</w:t>
      </w:r>
    </w:p>
    <w:p>
      <w:pPr>
        <w:pStyle w:val="Compact"/>
        <w:numPr>
          <w:ilvl w:val="0"/>
          <w:numId w:val="1001"/>
        </w:numPr>
      </w:pPr>
      <w:r>
        <w:t xml:space="preserve">What do students feel could be improved about the site sessions?</w:t>
      </w:r>
    </w:p>
    <w:p>
      <w:pPr>
        <w:pStyle w:val="Compact"/>
        <w:numPr>
          <w:ilvl w:val="0"/>
          <w:numId w:val="1001"/>
        </w:numPr>
      </w:pPr>
      <w:r>
        <w:t xml:space="preserve">How many sessions did students attend over the semester?</w:t>
      </w:r>
    </w:p>
    <w:p>
      <w:pPr>
        <w:pStyle w:val="Compact"/>
        <w:numPr>
          <w:ilvl w:val="0"/>
          <w:numId w:val="1001"/>
        </w:numPr>
      </w:pPr>
      <w:r>
        <w:t xml:space="preserve">Would students recommend the site sessions to a friend?</w:t>
      </w:r>
    </w:p>
    <w:p>
      <w:pPr>
        <w:pStyle w:val="Compact"/>
        <w:numPr>
          <w:ilvl w:val="0"/>
          <w:numId w:val="1001"/>
        </w:numPr>
      </w:pPr>
      <w:r>
        <w:t xml:space="preserve">Which session topics did students find most useful?</w:t>
      </w:r>
    </w:p>
    <w:bookmarkEnd w:id="9"/>
    <w:bookmarkStart w:id="10" w:name="appendix-ii-data-frequencies"/>
    <w:p>
      <w:pPr>
        <w:pStyle w:val="Heading2"/>
      </w:pPr>
      <w:r>
        <w:t xml:space="preserve">Appendix II – Data Frequencies</w:t>
      </w:r>
    </w:p>
    <w:p>
      <w:pPr>
        <w:pStyle w:val="FirstParagraph"/>
      </w:pPr>
      <w:r>
        <w:t xml:space="preserve">Appendix II shows the number (or percentage) of times a specific response or</w:t>
      </w:r>
      <w:r>
        <w:t xml:space="preserve"> </w:t>
      </w:r>
      <w:r>
        <w:t xml:space="preserve">category appears within your dataset. In effect, it is a list of frequency tables</w:t>
      </w:r>
      <w:r>
        <w:t xml:space="preserve"> </w:t>
      </w:r>
      <w:r>
        <w:t xml:space="preserve">for each variable analyzed in your report.</w:t>
      </w:r>
    </w:p>
    <w:p>
      <w:pPr>
        <w:pStyle w:val="BodyText"/>
      </w:pPr>
      <w:r>
        <w:t xml:space="preserve">Data frequencies for a survey question:</w:t>
      </w:r>
    </w:p>
    <w:p>
      <w:pPr>
        <w:pStyle w:val="BlockText"/>
      </w:pPr>
      <w:r>
        <w:rPr>
          <w:i/>
          <w:iCs/>
        </w:rPr>
        <w:t xml:space="preserve">The coaches were helpful.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Response</w:t>
            </w:r>
          </w:p>
        </w:tc>
        <w:tc>
          <w:tcPr/>
          <w:p>
            <w:pPr>
              <w:pStyle w:val="Compact"/>
            </w:pPr>
            <w:r>
              <w:t xml:space="preserve">Number</w:t>
            </w:r>
          </w:p>
        </w:tc>
        <w:tc>
          <w:tcPr/>
          <w:p>
            <w:pPr>
              <w:pStyle w:val="Compac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Strongly agree</w:t>
            </w:r>
          </w:p>
        </w:tc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42%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Agree</w:t>
            </w:r>
          </w:p>
        </w:tc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29%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Neutral</w:t>
            </w:r>
          </w:p>
        </w:tc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21%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Disagree</w:t>
            </w:r>
          </w:p>
        </w:tc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Strongly disagree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response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&lt;1%</w:t>
            </w:r>
          </w:p>
        </w:tc>
      </w:tr>
    </w:tbl>
    <w:p>
      <w:pPr>
        <w:pStyle w:val="BodyText"/>
      </w:pPr>
      <w:r>
        <w:t xml:space="preserve">Data frequencies for a data-collection project might look like:</w:t>
      </w:r>
    </w:p>
    <w:p>
      <w:pPr>
        <w:pStyle w:val="BlockText"/>
      </w:pPr>
      <w:r>
        <w:rPr>
          <w:i/>
          <w:iCs/>
        </w:rPr>
        <w:t xml:space="preserve">Sessions delivered by site, Fall 2026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Number</w:t>
            </w:r>
          </w:p>
        </w:tc>
        <w:tc>
          <w:tcPr/>
          <w:p>
            <w:pPr>
              <w:pStyle w:val="Compac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Site A</w:t>
            </w:r>
          </w:p>
        </w:tc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39%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Site B</w:t>
            </w:r>
          </w:p>
        </w:tc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33%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Site C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28%</w:t>
            </w:r>
          </w:p>
        </w:tc>
      </w:tr>
    </w:tbl>
    <w:bookmarkEnd w:id="10"/>
    <w:bookmarkStart w:id="12" w:name="appendix-iii-codebook-and-spreadsheet"/>
    <w:p>
      <w:pPr>
        <w:pStyle w:val="Heading2"/>
      </w:pPr>
      <w:r>
        <w:t xml:space="preserve">Appendix III – Codebook and Spreadsheet</w:t>
      </w:r>
    </w:p>
    <w:p>
      <w:pPr>
        <w:pStyle w:val="FirstParagraph"/>
      </w:pPr>
      <w:r>
        <w:t xml:space="preserve">Appendix III is your Codebook and Spreadsheet. Your spreadsheet must contain your</w:t>
      </w:r>
      <w:r>
        <w:t xml:space="preserve"> </w:t>
      </w:r>
      <w:r>
        <w:t xml:space="preserve">coded data (not the raw data). If your spreadsheet contains open-ended responses,</w:t>
      </w:r>
      <w:r>
        <w:t xml:space="preserve"> </w:t>
      </w:r>
      <w:r>
        <w:t xml:space="preserve">leave the open-ended responses as is. See the</w:t>
      </w:r>
      <w:r>
        <w:t xml:space="preserve"> </w:t>
      </w:r>
      <w:hyperlink r:id="rId11">
        <w:r>
          <w:rPr>
            <w:rStyle w:val="Hyperlink"/>
          </w:rPr>
          <w:t xml:space="preserve">Codebook and Spreadsheet Guide</w:t>
        </w:r>
      </w:hyperlink>
      <w:r>
        <w:t xml:space="preserve"> </w:t>
      </w:r>
      <w:r>
        <w:t xml:space="preserve">for how to build both.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712"/>
        <w:gridCol w:w="2354"/>
        <w:gridCol w:w="2568"/>
        <w:gridCol w:w="12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Column</w:t>
            </w:r>
          </w:p>
        </w:tc>
        <w:tc>
          <w:tcPr/>
          <w:p>
            <w:pPr>
              <w:pStyle w:val="Compact"/>
            </w:pPr>
            <w:r>
              <w:t xml:space="preserve">Field Name</w:t>
            </w:r>
          </w:p>
        </w:tc>
        <w:tc>
          <w:tcPr/>
          <w:p>
            <w:pPr>
              <w:pStyle w:val="Compact"/>
            </w:pPr>
            <w:r>
              <w:t xml:space="preserve">Definition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Respondent’s unique identification number</w:t>
            </w:r>
          </w:p>
        </w:tc>
        <w:tc>
          <w:tcPr/>
          <w:p>
            <w:pPr>
              <w:pStyle w:val="Compact"/>
            </w:pPr>
            <w:r>
              <w:t xml:space="preserve">Code is identical to identification number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SITE</w:t>
            </w:r>
          </w:p>
        </w:tc>
        <w:tc>
          <w:tcPr/>
          <w:p>
            <w:pPr>
              <w:pStyle w:val="Compact"/>
            </w:pPr>
            <w:r>
              <w:t xml:space="preserve">Which site session did you attend?</w:t>
            </w:r>
          </w:p>
        </w:tc>
        <w:tc>
          <w:tcPr/>
          <w:p>
            <w:pPr>
              <w:pStyle w:val="Compact"/>
            </w:pPr>
            <w:r>
              <w:t xml:space="preserve">1 = Site A ...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GRADE</w:t>
            </w:r>
          </w:p>
        </w:tc>
        <w:tc>
          <w:tcPr/>
          <w:p>
            <w:pPr>
              <w:pStyle w:val="Compact"/>
            </w:pPr>
            <w:r>
              <w:t xml:space="preserve">What grade are you in?</w:t>
            </w:r>
          </w:p>
        </w:tc>
        <w:tc>
          <w:tcPr/>
          <w:p>
            <w:pPr>
              <w:pStyle w:val="Compact"/>
            </w:pPr>
            <w:r>
              <w:t xml:space="preserve">1 = 9th ...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COACH</w:t>
            </w:r>
          </w:p>
        </w:tc>
        <w:tc>
          <w:tcPr/>
          <w:p>
            <w:pPr>
              <w:pStyle w:val="Compact"/>
            </w:pPr>
            <w:r>
              <w:t xml:space="preserve">The coaches were helpful.</w:t>
            </w:r>
          </w:p>
        </w:tc>
        <w:tc>
          <w:tcPr/>
          <w:p>
            <w:pPr>
              <w:pStyle w:val="Compact"/>
            </w:pPr>
            <w:r>
              <w:t xml:space="preserve">1 = Strongly disagree ...</w:t>
            </w:r>
          </w:p>
        </w:tc>
      </w:tr>
      <w:tr>
        <w:tc>
          <w:tcPr/>
          <w:p>
            <w:pPr>
              <w:pStyle w:val="Compact"/>
            </w:pPr>
            <w:r>
              <w:t xml:space="preserve">E</w:t>
            </w:r>
          </w:p>
        </w:tc>
        <w:tc>
          <w:tcPr/>
          <w:p>
            <w:pPr>
              <w:pStyle w:val="Compact"/>
            </w:pPr>
            <w:r>
              <w:t xml:space="preserve">ENGAGE</w:t>
            </w:r>
          </w:p>
        </w:tc>
        <w:tc>
          <w:tcPr/>
          <w:p>
            <w:pPr>
              <w:pStyle w:val="Compact"/>
            </w:pPr>
            <w:r>
              <w:t xml:space="preserve">The exercises were engaging.</w:t>
            </w:r>
          </w:p>
        </w:tc>
        <w:tc>
          <w:tcPr/>
          <w:p>
            <w:pPr>
              <w:pStyle w:val="Compact"/>
            </w:pPr>
            <w:r>
              <w:t xml:space="preserve">1 = Strongly disagree ...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IMPROVE</w:t>
            </w:r>
          </w:p>
        </w:tc>
        <w:tc>
          <w:tcPr/>
          <w:p>
            <w:pPr>
              <w:pStyle w:val="Compact"/>
            </w:pPr>
            <w:r>
              <w:t xml:space="preserve">What could be improved at your site sessions?</w:t>
            </w:r>
          </w:p>
        </w:tc>
        <w:tc>
          <w:tcPr/>
          <w:p>
            <w:pPr>
              <w:pStyle w:val="Compact"/>
            </w:pPr>
            <w:r>
              <w:t xml:space="preserve">Open ended response: ...</w:t>
            </w:r>
          </w:p>
        </w:tc>
      </w:tr>
    </w:tbl>
    <w:p>
      <w:pPr>
        <w:pStyle w:val="BodyText"/>
      </w:pPr>
      <w:r>
        <w:t xml:space="preserve"> 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SITE</w:t>
            </w:r>
          </w:p>
        </w:tc>
        <w:tc>
          <w:tcPr/>
          <w:p>
            <w:pPr>
              <w:pStyle w:val="Compact"/>
            </w:pPr>
            <w:r>
              <w:t xml:space="preserve">GRADE</w:t>
            </w:r>
          </w:p>
        </w:tc>
        <w:tc>
          <w:tcPr/>
          <w:p>
            <w:pPr>
              <w:pStyle w:val="Compact"/>
            </w:pPr>
            <w:r>
              <w:t xml:space="preserve">COACH</w:t>
            </w:r>
          </w:p>
        </w:tc>
        <w:tc>
          <w:tcPr/>
          <w:p>
            <w:pPr>
              <w:pStyle w:val="Compact"/>
            </w:pPr>
            <w:r>
              <w:t xml:space="preserve">ENGAGE</w:t>
            </w:r>
          </w:p>
        </w:tc>
        <w:tc>
          <w:tcPr/>
          <w:p>
            <w:pPr>
              <w:pStyle w:val="Compact"/>
            </w:pPr>
            <w:r>
              <w:t xml:space="preserve">IMPROVE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</w:tr>
    </w:tbl>
    <w:bookmarkEnd w:id="12"/>
    <w:bookmarkStart w:id="14" w:name="appendix-iv-open-ended-responses"/>
    <w:p>
      <w:pPr>
        <w:pStyle w:val="Heading2"/>
      </w:pPr>
      <w:r>
        <w:t xml:space="preserve">Appendix IV – Open-Ended Responses</w:t>
      </w:r>
    </w:p>
    <w:p>
      <w:pPr>
        <w:pStyle w:val="FirstParagraph"/>
      </w:pPr>
      <w:r>
        <w:t xml:space="preserve">You will only have Appendix IV if you have open-ended questions in your survey.</w:t>
      </w:r>
      <w:r>
        <w:t xml:space="preserve"> </w:t>
      </w:r>
      <w:r>
        <w:t xml:space="preserve">In this section, you will copy open-ended responses and paste them into the</w:t>
      </w:r>
      <w:r>
        <w:t xml:space="preserve"> </w:t>
      </w:r>
      <w:r>
        <w:t xml:space="preserve">section. Do not correct any spelling or grammatical errors – the responses</w:t>
      </w:r>
      <w:r>
        <w:t xml:space="preserve"> </w:t>
      </w:r>
      <w:r>
        <w:t xml:space="preserve">should be copied as they were originally written. See the</w:t>
      </w:r>
      <w:r>
        <w:t xml:space="preserve"> </w:t>
      </w:r>
      <w:hyperlink r:id="rId13">
        <w:r>
          <w:rPr>
            <w:rStyle w:val="Hyperlink"/>
          </w:rPr>
          <w:t xml:space="preserve">Qualitative Coding Guide</w:t>
        </w:r>
      </w:hyperlink>
      <w:r>
        <w:t xml:space="preserve">.</w:t>
      </w:r>
    </w:p>
    <w:p>
      <w:pPr>
        <w:pStyle w:val="BlockText"/>
      </w:pPr>
      <w:r>
        <w:rPr>
          <w:i/>
          <w:iCs/>
        </w:rPr>
        <w:t xml:space="preserve">What could be improved at your site sessions?</w:t>
      </w:r>
    </w:p>
    <w:p>
      <w:pPr>
        <w:pStyle w:val="FirstParagraph"/>
      </w:pPr>
      <w:r>
        <w:rPr>
          <w:b/>
          <w:bCs/>
        </w:rPr>
        <w:t xml:space="preserve">More activities (n=8)</w:t>
      </w:r>
    </w:p>
    <w:p>
      <w:pPr>
        <w:pStyle w:val="Compact"/>
        <w:numPr>
          <w:ilvl w:val="0"/>
          <w:numId w:val="1002"/>
        </w:numPr>
      </w:pPr>
      <w:r>
        <w:t xml:space="preserve">More hands on activities would be good.</w:t>
      </w:r>
    </w:p>
    <w:p>
      <w:pPr>
        <w:pStyle w:val="Compact"/>
        <w:numPr>
          <w:ilvl w:val="0"/>
          <w:numId w:val="1002"/>
        </w:numPr>
      </w:pPr>
      <w:r>
        <w:t xml:space="preserve">add more group activities</w:t>
      </w:r>
    </w:p>
    <w:p>
      <w:pPr>
        <w:pStyle w:val="Compact"/>
        <w:numPr>
          <w:ilvl w:val="0"/>
          <w:numId w:val="1002"/>
        </w:numPr>
      </w:pPr>
      <w:r>
        <w:t xml:space="preserve">More activities like the resume one.</w:t>
      </w:r>
    </w:p>
    <w:p>
      <w:pPr>
        <w:pStyle w:val="Compact"/>
        <w:numPr>
          <w:ilvl w:val="0"/>
          <w:numId w:val="1002"/>
        </w:numPr>
      </w:pPr>
      <w:r>
        <w:t xml:space="preserve">i liked the practice interviews, do more of those</w:t>
      </w:r>
    </w:p>
    <w:p>
      <w:pPr>
        <w:pStyle w:val="FirstParagraph"/>
      </w:pPr>
      <w:r>
        <w:rPr>
          <w:b/>
          <w:bCs/>
        </w:rPr>
        <w:t xml:space="preserve">More time (n=6)</w:t>
      </w:r>
    </w:p>
    <w:p>
      <w:pPr>
        <w:pStyle w:val="Compact"/>
        <w:numPr>
          <w:ilvl w:val="0"/>
          <w:numId w:val="1003"/>
        </w:numPr>
      </w:pPr>
      <w:r>
        <w:t xml:space="preserve">The sessions felt rushed at the end.</w:t>
      </w:r>
    </w:p>
    <w:p>
      <w:pPr>
        <w:pStyle w:val="Compact"/>
        <w:numPr>
          <w:ilvl w:val="0"/>
          <w:numId w:val="1003"/>
        </w:numPr>
      </w:pPr>
      <w:r>
        <w:t xml:space="preserve">more time for each activity</w:t>
      </w:r>
    </w:p>
    <w:p>
      <w:pPr>
        <w:pStyle w:val="Compact"/>
        <w:numPr>
          <w:ilvl w:val="0"/>
          <w:numId w:val="1003"/>
        </w:numPr>
      </w:pPr>
      <w:r>
        <w:t xml:space="preserve">Longer sessions.</w:t>
      </w:r>
    </w:p>
    <w:p>
      <w:pPr>
        <w:pStyle w:val="Compact"/>
        <w:numPr>
          <w:ilvl w:val="0"/>
          <w:numId w:val="1003"/>
        </w:numPr>
      </w:pPr>
      <w:r>
        <w:t xml:space="preserve">We needed more time to finish.</w:t>
      </w:r>
    </w:p>
    <w:p>
      <w:pPr>
        <w:pStyle w:val="FirstParagraph"/>
      </w:pPr>
      <w:r>
        <w:rPr>
          <w:b/>
          <w:bCs/>
        </w:rPr>
        <w:t xml:space="preserve">Smaller groups (n=4)</w:t>
      </w:r>
    </w:p>
    <w:p>
      <w:pPr>
        <w:pStyle w:val="Compact"/>
        <w:numPr>
          <w:ilvl w:val="0"/>
          <w:numId w:val="1004"/>
        </w:numPr>
      </w:pPr>
      <w:r>
        <w:t xml:space="preserve">The groups were too big.</w:t>
      </w:r>
    </w:p>
    <w:p>
      <w:pPr>
        <w:pStyle w:val="Compact"/>
        <w:numPr>
          <w:ilvl w:val="0"/>
          <w:numId w:val="1004"/>
        </w:numPr>
      </w:pPr>
      <w:r>
        <w:t xml:space="preserve">smaller groups so everyone can talk</w:t>
      </w:r>
    </w:p>
    <w:p>
      <w:pPr>
        <w:pStyle w:val="Compact"/>
        <w:numPr>
          <w:ilvl w:val="0"/>
          <w:numId w:val="1004"/>
        </w:numPr>
      </w:pPr>
      <w:r>
        <w:t xml:space="preserve">Too many people at my table.</w:t>
      </w:r>
    </w:p>
    <w:p>
      <w:pPr>
        <w:pStyle w:val="Compact"/>
        <w:numPr>
          <w:ilvl w:val="0"/>
          <w:numId w:val="1004"/>
        </w:numPr>
      </w:pPr>
      <w:r>
        <w:t xml:space="preserve">Smaller groups would help.</w:t>
      </w:r>
    </w:p>
    <w:p>
      <w:pPr>
        <w:pStyle w:val="FirstParagraph"/>
      </w:pPr>
      <w:r>
        <w:rPr>
          <w:b/>
          <w:bCs/>
        </w:rPr>
        <w:t xml:space="preserve">Better materials (n=3)</w:t>
      </w:r>
    </w:p>
    <w:p>
      <w:pPr>
        <w:pStyle w:val="Compact"/>
        <w:numPr>
          <w:ilvl w:val="0"/>
          <w:numId w:val="1005"/>
        </w:numPr>
      </w:pPr>
      <w:r>
        <w:t xml:space="preserve">The handouts were hard to read.</w:t>
      </w:r>
    </w:p>
    <w:p>
      <w:pPr>
        <w:pStyle w:val="Compact"/>
        <w:numPr>
          <w:ilvl w:val="0"/>
          <w:numId w:val="1005"/>
        </w:numPr>
      </w:pPr>
      <w:r>
        <w:t xml:space="preserve">better worksheets</w:t>
      </w:r>
    </w:p>
    <w:p>
      <w:pPr>
        <w:pStyle w:val="Compact"/>
        <w:numPr>
          <w:ilvl w:val="0"/>
          <w:numId w:val="1005"/>
        </w:numPr>
      </w:pPr>
      <w:r>
        <w:t xml:space="preserve">The packet had typos in it.</w:t>
      </w:r>
    </w:p>
    <w:p>
      <w:pPr>
        <w:pStyle w:val="FirstParagraph"/>
      </w:pPr>
      <w:r>
        <w:rPr>
          <w:b/>
          <w:bCs/>
        </w:rPr>
        <w:t xml:space="preserve">Nothing (n=2)</w:t>
      </w:r>
    </w:p>
    <w:p>
      <w:pPr>
        <w:pStyle w:val="Compact"/>
        <w:numPr>
          <w:ilvl w:val="0"/>
          <w:numId w:val="1006"/>
        </w:numPr>
      </w:pPr>
      <w:r>
        <w:t xml:space="preserve">Nothing, it was great.</w:t>
      </w:r>
    </w:p>
    <w:p>
      <w:pPr>
        <w:pStyle w:val="Compact"/>
        <w:numPr>
          <w:ilvl w:val="0"/>
          <w:numId w:val="1006"/>
        </w:numPr>
      </w:pPr>
      <w:r>
        <w:t xml:space="preserve">nothing</w:t>
      </w:r>
    </w:p>
    <w:bookmarkEnd w:id="14"/>
    <w:bookmarkStart w:id="18" w:name="appendix-v-disaggregated-graphs"/>
    <w:p>
      <w:pPr>
        <w:pStyle w:val="Heading2"/>
      </w:pPr>
      <w:r>
        <w:t xml:space="preserve">Appendix V – Disaggregated Graphs</w:t>
      </w:r>
    </w:p>
    <w:p>
      <w:pPr>
        <w:pStyle w:val="FirstParagraph"/>
      </w:pPr>
      <w:r>
        <w:t xml:space="preserve">You will only have Appendix V if your responses require disaggregated graphs.</w:t>
      </w:r>
    </w:p>
    <w:p>
      <w:pPr>
        <w:pStyle w:val="BodyText"/>
      </w:pPr>
      <w:r>
        <w:t xml:space="preserve">Disaggregated graphs are used when you need to display how different subgroups</w:t>
      </w:r>
      <w:r>
        <w:t xml:space="preserve"> </w:t>
      </w:r>
      <w:r>
        <w:t xml:space="preserve">within a population perform or behave. For example, disaggregating test scores by</w:t>
      </w:r>
      <w:r>
        <w:t xml:space="preserve"> </w:t>
      </w:r>
      <w:r>
        <w:t xml:space="preserve">gender, age, or ethnicity to reveal patterns that may not be apparent when the</w:t>
      </w:r>
      <w:r>
        <w:t xml:space="preserve"> </w:t>
      </w:r>
      <w:r>
        <w:t xml:space="preserve">data is aggregated.</w:t>
      </w:r>
    </w:p>
    <w:p>
      <w:pPr>
        <w:pStyle w:val="BodyText"/>
      </w:pPr>
      <w:r>
        <w:t xml:space="preserve">Paste your disaggregated graphs into Appendix V with a source below each graph.</w:t>
      </w:r>
    </w:p>
    <w:p>
      <w:pPr>
        <w:pStyle w:val="BodyText"/>
      </w:pPr>
      <w:r>
        <w:drawing>
          <wp:inline>
            <wp:extent cx="5334000" cy="3563011"/>
            <wp:effectExtent b="0" l="0" r="0" t="0"/>
            <wp:docPr descr="" title="" id="16" name="Picture"/>
            <a:graphic>
              <a:graphicData uri="http://schemas.openxmlformats.org/drawingml/2006/picture">
                <pic:pic>
                  <pic:nvPicPr>
                    <pic:cNvPr descr="images/ex-finding2-engagement-by-site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30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Source:</w:t>
      </w:r>
      <w:r>
        <w:t xml:space="preserve"> </w:t>
      </w:r>
      <w:r>
        <w:t xml:space="preserve">Sample data collected and analyzed by Jordan Alvarez for the Skills Win Coaching Organization, Community Link Project, November 2026.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hyperlink" Id="rId11" Target="codebook-and-spreadsheet.qmd" TargetMode="External" /><Relationship Type="http://schemas.openxmlformats.org/officeDocument/2006/relationships/hyperlink" Id="rId13" Target="qualitative-coding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codebook-and-spreadsheet.qmd" TargetMode="External" /><Relationship Type="http://schemas.openxmlformats.org/officeDocument/2006/relationships/hyperlink" Id="rId13" Target="qualitative-coding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Appendices Guide</dc:title>
  <dc:creator>Prof. Jack Reilly</dc:creator>
  <cp:keywords/>
  <dcterms:created xsi:type="dcterms:W3CDTF">2026-08-26T16:49:30Z</dcterms:created>
  <dcterms:modified xsi:type="dcterms:W3CDTF">2026-08-26T16:49:30Z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guides</vt:lpwstr>
  </property>
  <property fmtid="{D5CDD505-2E9C-101B-9397-08002B2CF9AE}" pid="12" name="subtitle">
    <vt:lpwstr>PST 315: Methods of Policy Analysis and Presentation</vt:lpwstr>
  </property>
  <property fmtid="{D5CDD505-2E9C-101B-9397-08002B2CF9AE}" pid="13" name="toc-title">
    <vt:lpwstr>Table of contents</vt:lpwstr>
  </property>
</Properties>
</file>