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Initial Client Meeting Guide</w:t>
      </w:r>
    </w:p>
    <w:p>
      <w:pPr>
        <w:pStyle w:val="Subtitle"/>
      </w:pPr>
      <w:r>
        <w:t xml:space="preserve">PST 315: Methods of Policy Analysis and Presentation</w:t>
      </w:r>
    </w:p>
    <w:p>
      <w:pPr>
        <w:pStyle w:val="Author"/>
      </w:pPr>
      <w:r>
        <w:t xml:space="preserve">Prof. Jack Reilly</w:t>
      </w:r>
    </w:p>
    <w:p>
      <w:pPr>
        <w:pStyle w:val="Date"/>
      </w:pPr>
      <w:r>
        <w:t xml:space="preserve">Fall 2026</w:t>
      </w:r>
    </w:p>
    <w:p>
      <w:pPr>
        <w:pStyle w:val="FirstParagraph"/>
      </w:pPr>
      <w:r>
        <w:t xml:space="preserve">After sending your client an email and setting up a meeting time, you need to</w:t>
      </w:r>
      <w:r>
        <w:t xml:space="preserve"> </w:t>
      </w:r>
      <w:r>
        <w:t xml:space="preserve">send a Zoom link at the time you have set up. If you have questions on how to</w:t>
      </w:r>
      <w:r>
        <w:t xml:space="preserve"> </w:t>
      </w:r>
      <w:r>
        <w:t xml:space="preserve">set up a Zoom meeting and share it with your client, please ask your UCA.</w:t>
      </w:r>
    </w:p>
    <w:p>
      <w:pPr>
        <w:pStyle w:val="BodyText"/>
      </w:pPr>
      <w:r>
        <w:t xml:space="preserve">Before your client meeting, it is important you prepare and come ready with a</w:t>
      </w:r>
      <w:r>
        <w:t xml:space="preserve"> </w:t>
      </w:r>
      <w:r>
        <w:t xml:space="preserve">plan to make the meeting efficient. Your client is likely very busy and you don’t</w:t>
      </w:r>
      <w:r>
        <w:t xml:space="preserve"> </w:t>
      </w:r>
      <w:r>
        <w:t xml:space="preserve">want to waste any time. You should prepare by reading the project description you</w:t>
      </w:r>
      <w:r>
        <w:t xml:space="preserve"> </w:t>
      </w:r>
      <w:r>
        <w:t xml:space="preserve">were given by your UCA and brainstorming questions to ask your client. You should</w:t>
      </w:r>
      <w:r>
        <w:t xml:space="preserve"> </w:t>
      </w:r>
      <w:r>
        <w:t xml:space="preserve">also look over the Contract and Timeline document and brainstorm your thoughts on</w:t>
      </w:r>
      <w:r>
        <w:t xml:space="preserve"> </w:t>
      </w:r>
      <w:r>
        <w:t xml:space="preserve">how to fill it out. These thoughts can be shared with your client to start the</w:t>
      </w:r>
      <w:r>
        <w:t xml:space="preserve"> </w:t>
      </w:r>
      <w:r>
        <w:t xml:space="preserve">conversation but ultimately should be filled in with your client’s preferences.</w:t>
      </w:r>
    </w:p>
    <w:p>
      <w:pPr>
        <w:pStyle w:val="BodyText"/>
      </w:pPr>
      <w:r>
        <w:t xml:space="preserve">In your meeting, you have a few things you should cover.</w:t>
      </w:r>
    </w:p>
    <w:p>
      <w:pPr>
        <w:numPr>
          <w:ilvl w:val="0"/>
          <w:numId w:val="1001"/>
        </w:numPr>
      </w:pPr>
      <w:r>
        <w:rPr>
          <w:b/>
          <w:bCs/>
        </w:rPr>
        <w:t xml:space="preserve">Introduce yourself and get to know your client</w:t>
      </w:r>
    </w:p>
    <w:p>
      <w:pPr>
        <w:pStyle w:val="Compact"/>
        <w:numPr>
          <w:ilvl w:val="1"/>
          <w:numId w:val="1002"/>
        </w:numPr>
      </w:pPr>
      <w:r>
        <w:rPr>
          <w:i/>
          <w:iCs/>
        </w:rPr>
        <w:t xml:space="preserve">Tip:</w:t>
      </w:r>
      <w:r>
        <w:t xml:space="preserve"> </w:t>
      </w:r>
      <w:r>
        <w:t xml:space="preserve">Take a few minutes to ask your client about themselves, their</w:t>
      </w:r>
      <w:r>
        <w:t xml:space="preserve"> </w:t>
      </w:r>
      <w:r>
        <w:t xml:space="preserve">background, and their organization. Using Dale Carnegie principles and</w:t>
      </w:r>
      <w:r>
        <w:t xml:space="preserve"> </w:t>
      </w:r>
      <w:r>
        <w:t xml:space="preserve">genuinely being interested in learning about your client and their</w:t>
      </w:r>
      <w:r>
        <w:t xml:space="preserve"> </w:t>
      </w:r>
      <w:r>
        <w:t xml:space="preserve">organization will help you better understand them and can help with creating</w:t>
      </w:r>
      <w:r>
        <w:t xml:space="preserve"> </w:t>
      </w:r>
      <w:r>
        <w:t xml:space="preserve">a positive working relationship.</w:t>
      </w:r>
    </w:p>
    <w:p>
      <w:pPr>
        <w:pStyle w:val="Compact"/>
        <w:numPr>
          <w:ilvl w:val="1"/>
          <w:numId w:val="1002"/>
        </w:numPr>
      </w:pPr>
      <w:r>
        <w:rPr>
          <w:i/>
          <w:iCs/>
        </w:rPr>
        <w:t xml:space="preserve">Tip:</w:t>
      </w:r>
      <w:r>
        <w:t xml:space="preserve"> </w:t>
      </w:r>
      <w:r>
        <w:t xml:space="preserve">Research your client’s organization beforehand to demonstrate your</w:t>
      </w:r>
      <w:r>
        <w:t xml:space="preserve"> </w:t>
      </w:r>
      <w:r>
        <w:t xml:space="preserve">interest in their organization and this project.</w:t>
      </w:r>
    </w:p>
    <w:p>
      <w:pPr>
        <w:numPr>
          <w:ilvl w:val="0"/>
          <w:numId w:val="1001"/>
        </w:numPr>
      </w:pPr>
      <w:r>
        <w:rPr>
          <w:b/>
          <w:bCs/>
        </w:rPr>
        <w:t xml:space="preserve">Ask your client to explain the project in more detail</w:t>
      </w:r>
      <w:r>
        <w:t xml:space="preserve"> </w:t>
      </w:r>
      <w:r>
        <w:t xml:space="preserve">and ask any</w:t>
      </w:r>
      <w:r>
        <w:t xml:space="preserve"> </w:t>
      </w:r>
      <w:r>
        <w:t xml:space="preserve">clarifying questions you have based on the details you were given</w:t>
      </w:r>
    </w:p>
    <w:p>
      <w:pPr>
        <w:pStyle w:val="Compact"/>
        <w:numPr>
          <w:ilvl w:val="1"/>
          <w:numId w:val="1003"/>
        </w:numPr>
      </w:pPr>
      <w:r>
        <w:rPr>
          <w:i/>
          <w:iCs/>
        </w:rPr>
        <w:t xml:space="preserve">Tip:</w:t>
      </w:r>
      <w:r>
        <w:t xml:space="preserve"> </w:t>
      </w:r>
      <w:r>
        <w:t xml:space="preserve">Take notes on this! It will be helpful to refer back to when you are</w:t>
      </w:r>
      <w:r>
        <w:t xml:space="preserve"> </w:t>
      </w:r>
      <w:r>
        <w:t xml:space="preserve">starting your project and will ensure you don’t ask questions they have</w:t>
      </w:r>
      <w:r>
        <w:t xml:space="preserve"> </w:t>
      </w:r>
      <w:r>
        <w:t xml:space="preserve">already answered.</w:t>
      </w:r>
    </w:p>
    <w:p>
      <w:pPr>
        <w:pStyle w:val="Compact"/>
        <w:numPr>
          <w:ilvl w:val="1"/>
          <w:numId w:val="1003"/>
        </w:numPr>
      </w:pPr>
      <w:r>
        <w:rPr>
          <w:i/>
          <w:iCs/>
        </w:rPr>
        <w:t xml:space="preserve">Tip:</w:t>
      </w:r>
      <w:r>
        <w:t xml:space="preserve"> </w:t>
      </w:r>
      <w:r>
        <w:t xml:space="preserve">Do not be afraid to ask questions throughout this process. It is</w:t>
      </w:r>
      <w:r>
        <w:t xml:space="preserve"> </w:t>
      </w:r>
      <w:r>
        <w:t xml:space="preserve">better to ask a question to your client than make a mistake or have a</w:t>
      </w:r>
      <w:r>
        <w:t xml:space="preserve"> </w:t>
      </w:r>
      <w:r>
        <w:t xml:space="preserve">misunderstanding with what your client expects.</w:t>
      </w:r>
    </w:p>
    <w:p>
      <w:pPr>
        <w:pStyle w:val="Compact"/>
        <w:numPr>
          <w:ilvl w:val="1"/>
          <w:numId w:val="1003"/>
        </w:numPr>
      </w:pPr>
      <w:r>
        <w:rPr>
          <w:i/>
          <w:iCs/>
        </w:rPr>
        <w:t xml:space="preserve">Tip:</w:t>
      </w:r>
      <w:r>
        <w:t xml:space="preserve"> </w:t>
      </w:r>
      <w:r>
        <w:t xml:space="preserve">Work with your client in this meeting to determine what the intended</w:t>
      </w:r>
      <w:r>
        <w:t xml:space="preserve"> </w:t>
      </w:r>
      <w:r>
        <w:t xml:space="preserve">target population, sampling frame, and response rate is for your survey.</w:t>
      </w:r>
      <w:r>
        <w:t xml:space="preserve"> </w:t>
      </w:r>
      <w:r>
        <w:t xml:space="preserve">This will help clear up expectations from the beginning!</w:t>
      </w:r>
    </w:p>
    <w:p>
      <w:pPr>
        <w:numPr>
          <w:ilvl w:val="0"/>
          <w:numId w:val="1001"/>
        </w:numPr>
      </w:pPr>
      <w:r>
        <w:rPr>
          <w:b/>
          <w:bCs/>
        </w:rPr>
        <w:t xml:space="preserve">Work through the Contract and Timeline with your client</w:t>
      </w:r>
    </w:p>
    <w:p>
      <w:pPr>
        <w:pStyle w:val="Compact"/>
        <w:numPr>
          <w:ilvl w:val="1"/>
          <w:numId w:val="1004"/>
        </w:numPr>
      </w:pPr>
      <w:r>
        <w:rPr>
          <w:i/>
          <w:iCs/>
        </w:rPr>
        <w:t xml:space="preserve">Tip:</w:t>
      </w:r>
      <w:r>
        <w:t xml:space="preserve"> </w:t>
      </w:r>
      <w:r>
        <w:t xml:space="preserve">See the</w:t>
      </w:r>
      <w:r>
        <w:t xml:space="preserve"> </w:t>
      </w:r>
      <w:hyperlink r:id="rId9">
        <w:r>
          <w:rPr>
            <w:rStyle w:val="Hyperlink"/>
          </w:rPr>
          <w:t xml:space="preserve">Contract and Timeline Guide</w:t>
        </w:r>
      </w:hyperlink>
      <w:r>
        <w:t xml:space="preserve"> </w:t>
      </w:r>
      <w:r>
        <w:t xml:space="preserve">for specifics on what to discuss with your client and how to properly fill</w:t>
      </w:r>
      <w:r>
        <w:t xml:space="preserve"> </w:t>
      </w:r>
      <w:r>
        <w:t xml:space="preserve">it out.</w:t>
      </w:r>
    </w:p>
    <w:p>
      <w:pPr>
        <w:numPr>
          <w:ilvl w:val="0"/>
          <w:numId w:val="1001"/>
        </w:numPr>
      </w:pPr>
      <w:r>
        <w:rPr>
          <w:b/>
          <w:bCs/>
        </w:rPr>
        <w:t xml:space="preserve">Discuss the best way to communicate</w:t>
      </w:r>
      <w:r>
        <w:t xml:space="preserve"> </w:t>
      </w:r>
      <w:r>
        <w:t xml:space="preserve">with your client and set up a follow-up</w:t>
      </w:r>
      <w:r>
        <w:t xml:space="preserve"> </w:t>
      </w:r>
      <w:r>
        <w:t xml:space="preserve">meeting for the next week</w:t>
      </w:r>
    </w:p>
    <w:p>
      <w:pPr>
        <w:numPr>
          <w:ilvl w:val="0"/>
          <w:numId w:val="1001"/>
        </w:numPr>
      </w:pPr>
      <w:r>
        <w:rPr>
          <w:b/>
          <w:bCs/>
        </w:rPr>
        <w:t xml:space="preserve">Thank them for their time!</w:t>
      </w:r>
    </w:p>
    <w:bookmarkStart w:id="15" w:name="zoom-etiquette"/>
    <w:p>
      <w:pPr>
        <w:pStyle w:val="Heading2"/>
      </w:pPr>
      <w:r>
        <w:t xml:space="preserve">Zoom etiquette</w:t>
      </w:r>
    </w:p>
    <w:p>
      <w:pPr>
        <w:pStyle w:val="FirstParagraph"/>
      </w:pPr>
      <w:r>
        <w:t xml:space="preserve">Some of you will have your meeting over Zoom and others in person. For those who</w:t>
      </w:r>
      <w:r>
        <w:t xml:space="preserve"> </w:t>
      </w:r>
      <w:r>
        <w:t xml:space="preserve">have your meeting on Zoom, here are some reminders about etiquette:</w:t>
      </w:r>
    </w:p>
    <w:p>
      <w:pPr>
        <w:pStyle w:val="Compact"/>
        <w:numPr>
          <w:ilvl w:val="0"/>
          <w:numId w:val="1005"/>
        </w:numPr>
      </w:pPr>
      <w:r>
        <w:t xml:space="preserve">Be sure to be in a quiet environment with a minimally distracting background.</w:t>
      </w:r>
    </w:p>
    <w:p>
      <w:pPr>
        <w:pStyle w:val="Compact"/>
        <w:numPr>
          <w:ilvl w:val="0"/>
          <w:numId w:val="1005"/>
        </w:numPr>
      </w:pPr>
      <w:r>
        <w:t xml:space="preserve">Keep in mind that while your client sees you, they are also seeing whatever is</w:t>
      </w:r>
      <w:r>
        <w:t xml:space="preserve"> </w:t>
      </w:r>
      <w:r>
        <w:t xml:space="preserve">behind you, so be sure your background is minimal and appropriate.</w:t>
      </w:r>
    </w:p>
    <w:p>
      <w:pPr>
        <w:pStyle w:val="Compact"/>
        <w:numPr>
          <w:ilvl w:val="0"/>
          <w:numId w:val="1005"/>
        </w:numPr>
      </w:pPr>
      <w:r>
        <w:t xml:space="preserve">If you cannot ensure a minimal/appropriate background, it is all right to use a</w:t>
      </w:r>
      <w:r>
        <w:t xml:space="preserve"> </w:t>
      </w:r>
      <w:r>
        <w:t xml:space="preserve">virtual background.</w:t>
      </w:r>
    </w:p>
    <w:p>
      <w:pPr>
        <w:pStyle w:val="Compact"/>
        <w:numPr>
          <w:ilvl w:val="0"/>
          <w:numId w:val="1005"/>
        </w:numPr>
      </w:pPr>
      <w:r>
        <w:t xml:space="preserve">To optimize your professional appearance, make sure you are well lit and not</w:t>
      </w:r>
      <w:r>
        <w:t xml:space="preserve"> </w:t>
      </w:r>
      <w:r>
        <w:t xml:space="preserve">using low angles.</w:t>
      </w:r>
    </w:p>
    <w:p>
      <w:pPr>
        <w:pStyle w:val="Compact"/>
        <w:numPr>
          <w:ilvl w:val="0"/>
          <w:numId w:val="1005"/>
        </w:numPr>
      </w:pPr>
      <w:r>
        <w:t xml:space="preserve">Be on the call at least 5 minutes early.</w:t>
      </w:r>
    </w:p>
    <w:p>
      <w:pPr>
        <w:pStyle w:val="Compact"/>
        <w:numPr>
          <w:ilvl w:val="0"/>
          <w:numId w:val="1005"/>
        </w:numPr>
      </w:pPr>
      <w:r>
        <w:t xml:space="preserve">Most importantly – be attentive and responsive.</w:t>
      </w:r>
    </w:p>
    <w:p>
      <w:pPr>
        <w:pStyle w:val="FirstParagraph"/>
      </w:pPr>
      <w:r>
        <w:t xml:space="preserve">Regardless of the setting of your meeting, you should be in</w:t>
      </w:r>
      <w:r>
        <w:t xml:space="preserve"> </w:t>
      </w:r>
      <w:r>
        <w:rPr>
          <w:b/>
          <w:bCs/>
        </w:rPr>
        <w:t xml:space="preserve">business casual</w:t>
      </w:r>
      <w:r>
        <w:rPr>
          <w:b/>
          <w:bCs/>
        </w:rPr>
        <w:t xml:space="preserve"> </w:t>
      </w:r>
      <w:r>
        <w:rPr>
          <w:b/>
          <w:bCs/>
        </w:rPr>
        <w:t xml:space="preserve">dress</w:t>
      </w:r>
      <w:r>
        <w:t xml:space="preserve">. Business casual generally means a collared shirt, blouse, or sweater</w:t>
      </w:r>
      <w:r>
        <w:t xml:space="preserve"> </w:t>
      </w:r>
      <w:r>
        <w:t xml:space="preserve">with slacks, chinos, or a skirt, and closed shoes – no t-shirts, athletic wear,</w:t>
      </w:r>
      <w:r>
        <w:t xml:space="preserve"> </w:t>
      </w:r>
      <w:r>
        <w:t xml:space="preserve">ripped jeans, or flip-flops.</w:t>
      </w:r>
    </w:p>
    <w:p>
      <w:pPr>
        <w:pStyle w:val="CaptionedFigure"/>
      </w:pPr>
      <w:r>
        <w:drawing>
          <wp:inline>
            <wp:extent cx="3429000" cy="3429000"/>
            <wp:effectExtent b="0" l="0" r="0" t="0"/>
            <wp:docPr descr="Basic business casual dress. Illustration by Nicoli Maege, CC BY-SA 3.0, via Wikimedia Commons; converted to PNG." title="" id="11" name="Picture"/>
            <a:graphic>
              <a:graphicData uri="http://schemas.openxmlformats.org/drawingml/2006/picture">
                <pic:pic>
                  <pic:nvPicPr>
                    <pic:cNvPr descr="images/business-casual.png" id="12" name="Picture"/>
                    <pic:cNvPicPr>
                      <a:picLocks noChangeArrowheads="1"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3429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Basic business casual dress. Illustration by Nicoli Maege,</w:t>
      </w:r>
      <w:r>
        <w:t xml:space="preserve"> </w:t>
      </w:r>
      <w:hyperlink r:id="rId13">
        <w:r>
          <w:rPr>
            <w:rStyle w:val="Hyperlink"/>
          </w:rPr>
          <w:t xml:space="preserve">CC BY-SA 3.0</w:t>
        </w:r>
      </w:hyperlink>
      <w:r>
        <w:t xml:space="preserve">, via</w:t>
      </w:r>
      <w:r>
        <w:t xml:space="preserve"> </w:t>
      </w:r>
      <w:hyperlink r:id="rId14">
        <w:r>
          <w:rPr>
            <w:rStyle w:val="Hyperlink"/>
          </w:rPr>
          <w:t xml:space="preserve">Wikimedia Commons</w:t>
        </w:r>
      </w:hyperlink>
      <w:r>
        <w:t xml:space="preserve">; converted to PNG.</w:t>
      </w:r>
    </w:p>
    <w:p>
      <w:pPr>
        <w:pStyle w:val="BodyText"/>
      </w:pPr>
      <w:r>
        <w:t xml:space="preserve">If you have any questions about business casual dress, please do not hesitate to</w:t>
      </w:r>
      <w:r>
        <w:t xml:space="preserve"> </w:t>
      </w:r>
      <w:r>
        <w:t xml:space="preserve">reach out to your UCA.</w:t>
      </w:r>
    </w:p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  <w:shd w:val="clear" w:fill="f1f3f5"/>
    </w:pPr>
  </w:style>
  <w:style w:type="character" w:customStyle="1" w:styleId="KeywordTok">
    <w:name w:val="KeywordTok"/>
    <w:basedOn w:val="VerbatimChar"/>
    <w:rPr>
      <w:b/>
      <w:color w:val="003b4f"/>
      <w:shd w:val="clear" w:fill="f1f3f5"/>
    </w:rPr>
  </w:style>
  <w:style w:type="character" w:customStyle="1" w:styleId="DataTypeTok">
    <w:name w:val="DataTypeTok"/>
    <w:basedOn w:val="VerbatimChar"/>
    <w:rPr>
      <w:color w:val="ad0000"/>
      <w:shd w:val="clear" w:fill="f1f3f5"/>
    </w:rPr>
  </w:style>
  <w:style w:type="character" w:customStyle="1" w:styleId="DecValTok">
    <w:name w:val="DecValTok"/>
    <w:basedOn w:val="VerbatimChar"/>
    <w:rPr>
      <w:color w:val="ad0000"/>
      <w:shd w:val="clear" w:fill="f1f3f5"/>
    </w:rPr>
  </w:style>
  <w:style w:type="character" w:customStyle="1" w:styleId="BaseNTok">
    <w:name w:val="BaseNTok"/>
    <w:basedOn w:val="VerbatimChar"/>
    <w:rPr>
      <w:color w:val="ad0000"/>
      <w:shd w:val="clear" w:fill="f1f3f5"/>
    </w:rPr>
  </w:style>
  <w:style w:type="character" w:customStyle="1" w:styleId="FloatTok">
    <w:name w:val="FloatTok"/>
    <w:basedOn w:val="VerbatimChar"/>
    <w:rPr>
      <w:color w:val="ad0000"/>
      <w:shd w:val="clear" w:fill="f1f3f5"/>
    </w:rPr>
  </w:style>
  <w:style w:type="character" w:customStyle="1" w:styleId="ConstantTok">
    <w:name w:val="ConstantTok"/>
    <w:basedOn w:val="VerbatimChar"/>
    <w:rPr>
      <w:color w:val="8f5902"/>
      <w:shd w:val="clear" w:fill="f1f3f5"/>
    </w:rPr>
  </w:style>
  <w:style w:type="character" w:customStyle="1" w:styleId="CharTok">
    <w:name w:val="CharTok"/>
    <w:basedOn w:val="VerbatimChar"/>
    <w:rPr>
      <w:color w:val="20794d"/>
      <w:shd w:val="clear" w:fill="f1f3f5"/>
    </w:rPr>
  </w:style>
  <w:style w:type="character" w:customStyle="1" w:styleId="SpecialCharTok">
    <w:name w:val="SpecialCharTok"/>
    <w:basedOn w:val="VerbatimChar"/>
    <w:rPr>
      <w:color w:val="5e5e5e"/>
      <w:shd w:val="clear" w:fill="f1f3f5"/>
    </w:rPr>
  </w:style>
  <w:style w:type="character" w:customStyle="1" w:styleId="StringTok">
    <w:name w:val="StringTok"/>
    <w:basedOn w:val="VerbatimChar"/>
    <w:rPr>
      <w:color w:val="20794d"/>
      <w:shd w:val="clear" w:fill="f1f3f5"/>
    </w:rPr>
  </w:style>
  <w:style w:type="character" w:customStyle="1" w:styleId="VerbatimStringTok">
    <w:name w:val="VerbatimStringTok"/>
    <w:basedOn w:val="VerbatimChar"/>
    <w:rPr>
      <w:color w:val="20794d"/>
      <w:shd w:val="clear" w:fill="f1f3f5"/>
    </w:rPr>
  </w:style>
  <w:style w:type="character" w:customStyle="1" w:styleId="SpecialStringTok">
    <w:name w:val="SpecialStringTok"/>
    <w:basedOn w:val="VerbatimChar"/>
    <w:rPr>
      <w:color w:val="20794d"/>
      <w:shd w:val="clear" w:fill="f1f3f5"/>
    </w:rPr>
  </w:style>
  <w:style w:type="character" w:customStyle="1" w:styleId="ImportTok">
    <w:name w:val="ImportTok"/>
    <w:basedOn w:val="VerbatimChar"/>
    <w:rPr>
      <w:color w:val="00769e"/>
      <w:shd w:val="clear" w:fill="f1f3f5"/>
    </w:rPr>
  </w:style>
  <w:style w:type="character" w:customStyle="1" w:styleId="CommentTok">
    <w:name w:val="CommentTok"/>
    <w:basedOn w:val="VerbatimChar"/>
    <w:rPr>
      <w:color w:val="5e5e5e"/>
      <w:shd w:val="clear" w:fill="f1f3f5"/>
    </w:rPr>
  </w:style>
  <w:style w:type="character" w:customStyle="1" w:styleId="DocumentationTok">
    <w:name w:val="DocumentationTok"/>
    <w:basedOn w:val="VerbatimChar"/>
    <w:rPr>
      <w:i/>
      <w:color w:val="5e5e5e"/>
      <w:shd w:val="clear" w:fill="f1f3f5"/>
    </w:rPr>
  </w:style>
  <w:style w:type="character" w:customStyle="1" w:styleId="AnnotationTok">
    <w:name w:val="AnnotationTok"/>
    <w:basedOn w:val="VerbatimChar"/>
    <w:rPr>
      <w:color w:val="5e5e5e"/>
      <w:shd w:val="clear" w:fill="f1f3f5"/>
    </w:rPr>
  </w:style>
  <w:style w:type="character" w:customStyle="1" w:styleId="CommentVarTok">
    <w:name w:val="CommentVarTok"/>
    <w:basedOn w:val="VerbatimChar"/>
    <w:rPr>
      <w:i/>
      <w:color w:val="5e5e5e"/>
      <w:shd w:val="clear" w:fill="f1f3f5"/>
    </w:rPr>
  </w:style>
  <w:style w:type="character" w:customStyle="1" w:styleId="OtherTok">
    <w:name w:val="OtherTok"/>
    <w:basedOn w:val="VerbatimChar"/>
    <w:rPr>
      <w:color w:val="003b4f"/>
      <w:shd w:val="clear" w:fill="f1f3f5"/>
    </w:rPr>
  </w:style>
  <w:style w:type="character" w:customStyle="1" w:styleId="FunctionTok">
    <w:name w:val="FunctionTok"/>
    <w:basedOn w:val="VerbatimChar"/>
    <w:rPr>
      <w:color w:val="4758ab"/>
      <w:shd w:val="clear" w:fill="f1f3f5"/>
    </w:rPr>
  </w:style>
  <w:style w:type="character" w:customStyle="1" w:styleId="VariableTok">
    <w:name w:val="VariableTok"/>
    <w:basedOn w:val="VerbatimChar"/>
    <w:rPr>
      <w:color w:val="111111"/>
      <w:shd w:val="clear" w:fill="f1f3f5"/>
    </w:rPr>
  </w:style>
  <w:style w:type="character" w:customStyle="1" w:styleId="ControlFlowTok">
    <w:name w:val="ControlFlowTok"/>
    <w:basedOn w:val="VerbatimChar"/>
    <w:rPr>
      <w:b/>
      <w:color w:val="003b4f"/>
      <w:shd w:val="clear" w:fill="f1f3f5"/>
    </w:rPr>
  </w:style>
  <w:style w:type="character" w:customStyle="1" w:styleId="OperatorTok">
    <w:name w:val="OperatorTok"/>
    <w:basedOn w:val="VerbatimChar"/>
    <w:rPr>
      <w:color w:val="5e5e5e"/>
      <w:shd w:val="clear" w:fill="f1f3f5"/>
    </w:rPr>
  </w:style>
  <w:style w:type="character" w:customStyle="1" w:styleId="BuiltInTok">
    <w:name w:val="BuiltInTok"/>
    <w:basedOn w:val="VerbatimChar"/>
    <w:rPr>
      <w:color w:val="003b4f"/>
      <w:shd w:val="clear" w:fill="f1f3f5"/>
    </w:rPr>
  </w:style>
  <w:style w:type="character" w:customStyle="1" w:styleId="ExtensionTok">
    <w:name w:val="ExtensionTok"/>
    <w:basedOn w:val="VerbatimChar"/>
    <w:rPr>
      <w:color w:val="003b4f"/>
      <w:shd w:val="clear" w:fill="f1f3f5"/>
    </w:rPr>
  </w:style>
  <w:style w:type="character" w:customStyle="1" w:styleId="PreprocessorTok">
    <w:name w:val="PreprocessorTok"/>
    <w:basedOn w:val="VerbatimChar"/>
    <w:rPr>
      <w:color w:val="ad0000"/>
      <w:shd w:val="clear" w:fill="f1f3f5"/>
    </w:rPr>
  </w:style>
  <w:style w:type="character" w:customStyle="1" w:styleId="AttributeTok">
    <w:name w:val="AttributeTok"/>
    <w:basedOn w:val="VerbatimChar"/>
    <w:rPr>
      <w:color w:val="657422"/>
      <w:shd w:val="clear" w:fill="f1f3f5"/>
    </w:rPr>
  </w:style>
  <w:style w:type="character" w:customStyle="1" w:styleId="RegionMarkerTok">
    <w:name w:val="RegionMarkerTok"/>
    <w:basedOn w:val="VerbatimChar"/>
    <w:rPr>
      <w:color w:val="003b4f"/>
      <w:shd w:val="clear" w:fill="f1f3f5"/>
    </w:rPr>
  </w:style>
  <w:style w:type="character" w:customStyle="1" w:styleId="InformationTok">
    <w:name w:val="InformationTok"/>
    <w:basedOn w:val="VerbatimChar"/>
    <w:rPr>
      <w:color w:val="5e5e5e"/>
      <w:shd w:val="clear" w:fill="f1f3f5"/>
    </w:rPr>
  </w:style>
  <w:style w:type="character" w:customStyle="1" w:styleId="WarningTok">
    <w:name w:val="WarningTok"/>
    <w:basedOn w:val="VerbatimChar"/>
    <w:rPr>
      <w:i/>
      <w:color w:val="5e5e5e"/>
      <w:shd w:val="clear" w:fill="f1f3f5"/>
    </w:rPr>
  </w:style>
  <w:style w:type="character" w:customStyle="1" w:styleId="AlertTok">
    <w:name w:val="AlertTok"/>
    <w:basedOn w:val="VerbatimChar"/>
    <w:rPr>
      <w:color w:val="ad0000"/>
      <w:shd w:val="clear" w:fill="f1f3f5"/>
    </w:rPr>
  </w:style>
  <w:style w:type="character" w:customStyle="1" w:styleId="ErrorTok">
    <w:name w:val="ErrorTok"/>
    <w:basedOn w:val="VerbatimChar"/>
    <w:rPr>
      <w:color w:val="ad0000"/>
      <w:shd w:val="clear" w:fill="f1f3f5"/>
    </w:rPr>
  </w:style>
  <w:style w:type="character" w:customStyle="1" w:styleId="NormalTok">
    <w:name w:val="NormalTok"/>
    <w:basedOn w:val="VerbatimChar"/>
    <w:rPr>
      <w:color w:val="003b4f"/>
      <w:shd w:val="clear" w:fill="f1f3f5"/>
    </w:rPr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0" Target="media/rId10.png" /><Relationship Type="http://schemas.openxmlformats.org/officeDocument/2006/relationships/hyperlink" Id="rId9" Target="contract-and-timeline.qmd" TargetMode="External" /><Relationship Type="http://schemas.openxmlformats.org/officeDocument/2006/relationships/hyperlink" Id="rId14" Target="https://commons.wikimedia.org/wiki/File:Business_casual_male_%26_female.svg" TargetMode="External" /><Relationship Type="http://schemas.openxmlformats.org/officeDocument/2006/relationships/hyperlink" Id="rId13" Target="https://creativecommons.org/licenses/by-sa/3.0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contract-and-timeline.qmd" TargetMode="External" /><Relationship Type="http://schemas.openxmlformats.org/officeDocument/2006/relationships/hyperlink" Id="rId14" Target="https://commons.wikimedia.org/wiki/File:Business_casual_male_%26_female.svg" TargetMode="External" /><Relationship Type="http://schemas.openxmlformats.org/officeDocument/2006/relationships/hyperlink" Id="rId13" Target="https://creativecommons.org/licenses/by-sa/3.0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Initial Client Meeting Guide</dc:title>
  <dc:creator>Prof. Jack Reilly</dc:creator>
  <cp:keywords/>
  <dcterms:created xsi:type="dcterms:W3CDTF">2026-08-26T16:49:50Z</dcterms:created>
  <dcterms:modified xsi:type="dcterms:W3CDTF">2026-08-26T16:49:50Z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s">
    <vt:lpwstr/>
  </property>
  <property fmtid="{D5CDD505-2E9C-101B-9397-08002B2CF9AE}" pid="3" name="biblio-config">
    <vt:lpwstr>True</vt:lpwstr>
  </property>
  <property fmtid="{D5CDD505-2E9C-101B-9397-08002B2CF9AE}" pid="4" name="by-author">
    <vt:lpwstr/>
  </property>
  <property fmtid="{D5CDD505-2E9C-101B-9397-08002B2CF9AE}" pid="5" name="date">
    <vt:lpwstr>Fall 2026</vt:lpwstr>
  </property>
  <property fmtid="{D5CDD505-2E9C-101B-9397-08002B2CF9AE}" pid="6" name="date-format">
    <vt:lpwstr>[Fall] YYYY</vt:lpwstr>
  </property>
  <property fmtid="{D5CDD505-2E9C-101B-9397-08002B2CF9AE}" pid="7" name="header-includes">
    <vt:lpwstr/>
  </property>
  <property fmtid="{D5CDD505-2E9C-101B-9397-08002B2CF9AE}" pid="8" name="include-after">
    <vt:lpwstr/>
  </property>
  <property fmtid="{D5CDD505-2E9C-101B-9397-08002B2CF9AE}" pid="9" name="include-before">
    <vt:lpwstr/>
  </property>
  <property fmtid="{D5CDD505-2E9C-101B-9397-08002B2CF9AE}" pid="10" name="labels">
    <vt:lpwstr/>
  </property>
  <property fmtid="{D5CDD505-2E9C-101B-9397-08002B2CF9AE}" pid="11" name="sidebar">
    <vt:lpwstr>guides</vt:lpwstr>
  </property>
  <property fmtid="{D5CDD505-2E9C-101B-9397-08002B2CF9AE}" pid="12" name="subtitle">
    <vt:lpwstr>PST 315: Methods of Policy Analysis and Presentation</vt:lpwstr>
  </property>
  <property fmtid="{D5CDD505-2E9C-101B-9397-08002B2CF9AE}" pid="13" name="toc-title">
    <vt:lpwstr>Table of contents</vt:lpwstr>
  </property>
</Properties>
</file>