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Qualitative (Open-Ended) Coding Guide</w:t>
      </w:r>
    </w:p>
    <w:p>
      <w:pPr>
        <w:pStyle w:val="Subtitle"/>
      </w:pPr>
      <w:r>
        <w:t xml:space="preserve">PST 315: Methods of Policy Analysis and Presentation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BlockText"/>
      </w:pPr>
      <w:r>
        <w:rPr>
          <w:b/>
          <w:bCs/>
        </w:rPr>
        <w:t xml:space="preserve">About these examples</w:t>
      </w:r>
    </w:p>
    <w:p>
      <w:pPr>
        <w:pStyle w:val="BlockText"/>
      </w:pPr>
      <w:r>
        <w:t xml:space="preserve">The examples below use</w:t>
      </w:r>
      <w:r>
        <w:t xml:space="preserve"> </w:t>
      </w:r>
      <w:r>
        <w:rPr>
          <w:b/>
          <w:bCs/>
        </w:rPr>
        <w:t xml:space="preserve">sample data</w:t>
      </w:r>
      <w:r>
        <w:t xml:space="preserve">. Skills Win Coaching Organization is a real</w:t>
      </w:r>
      <w:r>
        <w:t xml:space="preserve"> </w:t>
      </w:r>
      <w:r>
        <w:t xml:space="preserve">Syracuse University program, but the responses and numbers shown here are invented</w:t>
      </w:r>
      <w:r>
        <w:t xml:space="preserve"> </w:t>
      </w:r>
      <w:r>
        <w:t xml:space="preserve">for teaching purposes and are not actual SWCO results.</w:t>
      </w:r>
    </w:p>
    <w:p>
      <w:pPr>
        <w:pStyle w:val="FirstParagraph"/>
      </w:pPr>
      <w:r>
        <w:rPr>
          <w:i/>
          <w:iCs/>
        </w:rPr>
        <w:t xml:space="preserve">Note: There are three types of open-ended survey responses: categorical (single</w:t>
      </w:r>
      <w:r>
        <w:rPr>
          <w:i/>
          <w:iCs/>
        </w:rPr>
        <w:t xml:space="preserve"> </w:t>
      </w:r>
      <w:r>
        <w:rPr>
          <w:i/>
          <w:iCs/>
        </w:rPr>
        <w:t xml:space="preserve">category), attitudinal (single category), and check-all-that-apply (multiple</w:t>
      </w:r>
      <w:r>
        <w:rPr>
          <w:i/>
          <w:iCs/>
        </w:rPr>
        <w:t xml:space="preserve"> </w:t>
      </w:r>
      <w:r>
        <w:rPr>
          <w:i/>
          <w:iCs/>
        </w:rPr>
        <w:t xml:space="preserve">categories).</w:t>
      </w:r>
    </w:p>
    <w:p>
      <w:pPr>
        <w:pStyle w:val="BodyText"/>
      </w:pPr>
      <w:r>
        <w:rPr>
          <w:b/>
          <w:bCs/>
        </w:rPr>
        <w:t xml:space="preserve">Step 1:</w:t>
      </w:r>
      <w:r>
        <w:t xml:space="preserve"> </w:t>
      </w:r>
      <w:r>
        <w:t xml:space="preserve">List open-ended actual responses.</w:t>
      </w:r>
    </w:p>
    <w:p>
      <w:pPr>
        <w:pStyle w:val="BodyText"/>
      </w:pPr>
      <w:r>
        <w:t xml:space="preserve">Copy the responses out of your spreadsheet exactly as they were written – do not</w:t>
      </w:r>
      <w:r>
        <w:t xml:space="preserve"> </w:t>
      </w:r>
      <w:r>
        <w:t xml:space="preserve">fix spelling or grammar.</w:t>
      </w:r>
    </w:p>
    <w:p>
      <w:pPr>
        <w:pStyle w:val="BlockText"/>
      </w:pPr>
      <w:r>
        <w:rPr>
          <w:i/>
          <w:iCs/>
        </w:rPr>
        <w:t xml:space="preserve">What could be improved at your site sessions?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Respondent ID</w:t>
            </w:r>
          </w:p>
        </w:tc>
        <w:tc>
          <w:tcPr/>
          <w:p>
            <w:pPr>
              <w:pStyle w:val="Compact"/>
            </w:pPr>
            <w:r>
              <w:t xml:space="preserve">Response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More hands on activities would be good.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add more group activities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More activities like the resume one.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i liked the practice interviews, do more of those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More team exercises.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more activities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Do more of the role playing exercises.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More things to actually practice.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The sessions felt rushed at the end.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more time for each activity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Longer sessions.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We needed more time to finish.</w:t>
            </w:r>
          </w:p>
        </w:tc>
      </w:tr>
    </w:tbl>
    <w:p>
      <w:pPr>
        <w:pStyle w:val="BodyText"/>
      </w:pPr>
      <w:r>
        <w:rPr>
          <w:b/>
          <w:bCs/>
        </w:rPr>
        <w:t xml:space="preserve">Step 2:</w:t>
      </w:r>
      <w:r>
        <w:t xml:space="preserve"> </w:t>
      </w:r>
      <w:r>
        <w:t xml:space="preserve">Aggregate responses into categories. The number of categories will</w:t>
      </w:r>
      <w:r>
        <w:t xml:space="preserve"> </w:t>
      </w:r>
      <w:r>
        <w:t xml:space="preserve">depend on the variety of responses you have received, but aim to create the</w:t>
      </w:r>
      <w:r>
        <w:t xml:space="preserve"> </w:t>
      </w:r>
      <w:r>
        <w:t xml:space="preserve">fewest number of categories possible while ensuring every response fits into one.</w:t>
      </w:r>
    </w:p>
    <w:p>
      <w:pPr>
        <w:pStyle w:val="BodyText"/>
      </w:pPr>
      <w:r>
        <w:rPr>
          <w:b/>
          <w:bCs/>
        </w:rPr>
        <w:t xml:space="preserve">Step 3:</w:t>
      </w:r>
      <w:r>
        <w:t xml:space="preserve"> </w:t>
      </w:r>
      <w:r>
        <w:t xml:space="preserve">Take the number of responses for each category and then divide each</w:t>
      </w:r>
      <w:r>
        <w:t xml:space="preserve"> </w:t>
      </w:r>
      <w:r>
        <w:t xml:space="preserve">raw number by the total number of responses (times 100) to get a percentage.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Responses</w:t>
            </w:r>
          </w:p>
        </w:tc>
        <w:tc>
          <w:tcPr/>
          <w:p>
            <w:pPr>
              <w:pStyle w:val="Compac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More activities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35%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More time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26%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Smaller groups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Better materials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13%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Nothing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9%</w:t>
            </w:r>
          </w:p>
        </w:tc>
      </w:tr>
    </w:tbl>
    <w:p>
      <w:pPr>
        <w:pStyle w:val="BodyText"/>
      </w:pPr>
      <w:r>
        <w:rPr>
          <w:b/>
          <w:bCs/>
        </w:rPr>
        <w:t xml:space="preserve">Step 4:</w:t>
      </w:r>
      <w:r>
        <w:t xml:space="preserve"> </w:t>
      </w:r>
      <w:r>
        <w:t xml:space="preserve">Graph the percentage data according to the</w:t>
      </w:r>
      <w:r>
        <w:t xml:space="preserve"> </w:t>
      </w:r>
      <w:hyperlink r:id="rId9">
        <w:r>
          <w:rPr>
            <w:rStyle w:val="Hyperlink"/>
          </w:rPr>
          <w:t xml:space="preserve">PST 315 graphing guidelines</w:t>
        </w:r>
      </w:hyperlink>
      <w:r>
        <w:t xml:space="preserve">.</w:t>
      </w:r>
    </w:p>
    <w:p>
      <w:pPr>
        <w:pStyle w:val="BodyText"/>
      </w:pPr>
      <w:r>
        <w:drawing>
          <wp:inline>
            <wp:extent cx="5334000" cy="3360268"/>
            <wp:effectExtent b="0" l="0" r="0" t="0"/>
            <wp:docPr descr="" title="" id="11" name="Picture"/>
            <a:graphic>
              <a:graphicData uri="http://schemas.openxmlformats.org/drawingml/2006/picture">
                <pic:pic>
                  <pic:nvPicPr>
                    <pic:cNvPr descr="images/ex-finding3-improvement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60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Step 5:</w:t>
      </w:r>
      <w:r>
        <w:t xml:space="preserve"> </w:t>
      </w:r>
      <w:r>
        <w:t xml:space="preserve">Include the category name with actual responses listed below in the</w:t>
      </w:r>
      <w:r>
        <w:t xml:space="preserve"> </w:t>
      </w:r>
      <w:r>
        <w:t xml:space="preserve">appendix. See the</w:t>
      </w:r>
      <w:r>
        <w:t xml:space="preserve"> </w:t>
      </w:r>
      <w:hyperlink r:id="rId13">
        <w:r>
          <w:rPr>
            <w:rStyle w:val="Hyperlink"/>
          </w:rPr>
          <w:t xml:space="preserve">Appendices Guide</w:t>
        </w:r>
      </w:hyperlink>
      <w:r>
        <w:t xml:space="preserve">.</w:t>
      </w:r>
    </w:p>
    <w:p>
      <w:pPr>
        <w:pStyle w:val="BodyText"/>
      </w:pPr>
      <w:r>
        <w:rPr>
          <w:b/>
          <w:bCs/>
        </w:rPr>
        <w:t xml:space="preserve">More activities (n=8)</w:t>
      </w:r>
    </w:p>
    <w:p>
      <w:pPr>
        <w:pStyle w:val="Compact"/>
        <w:numPr>
          <w:ilvl w:val="0"/>
          <w:numId w:val="1001"/>
        </w:numPr>
      </w:pPr>
      <w:r>
        <w:t xml:space="preserve">More hands on activities would be good.</w:t>
      </w:r>
    </w:p>
    <w:p>
      <w:pPr>
        <w:pStyle w:val="Compact"/>
        <w:numPr>
          <w:ilvl w:val="0"/>
          <w:numId w:val="1001"/>
        </w:numPr>
      </w:pPr>
      <w:r>
        <w:t xml:space="preserve">add more group activities</w:t>
      </w:r>
    </w:p>
    <w:p>
      <w:pPr>
        <w:pStyle w:val="Compact"/>
        <w:numPr>
          <w:ilvl w:val="0"/>
          <w:numId w:val="1001"/>
        </w:numPr>
      </w:pPr>
      <w:r>
        <w:t xml:space="preserve">More activities like the resume one.</w:t>
      </w:r>
    </w:p>
    <w:p>
      <w:pPr>
        <w:pStyle w:val="Compact"/>
        <w:numPr>
          <w:ilvl w:val="0"/>
          <w:numId w:val="1001"/>
        </w:numPr>
      </w:pPr>
      <w:r>
        <w:t xml:space="preserve">i liked the practice interviews, do more of those</w:t>
      </w:r>
    </w:p>
    <w:p>
      <w:pPr>
        <w:pStyle w:val="FirstParagraph"/>
      </w:pPr>
      <w:r>
        <w:rPr>
          <w:b/>
          <w:bCs/>
        </w:rPr>
        <w:t xml:space="preserve">More time (n=6)</w:t>
      </w:r>
    </w:p>
    <w:p>
      <w:pPr>
        <w:pStyle w:val="Compact"/>
        <w:numPr>
          <w:ilvl w:val="0"/>
          <w:numId w:val="1002"/>
        </w:numPr>
      </w:pPr>
      <w:r>
        <w:t xml:space="preserve">The sessions felt rushed at the end.</w:t>
      </w:r>
    </w:p>
    <w:p>
      <w:pPr>
        <w:pStyle w:val="Compact"/>
        <w:numPr>
          <w:ilvl w:val="0"/>
          <w:numId w:val="1002"/>
        </w:numPr>
      </w:pPr>
      <w:r>
        <w:t xml:space="preserve">more time for each activity</w:t>
      </w:r>
    </w:p>
    <w:p>
      <w:pPr>
        <w:pStyle w:val="Compact"/>
        <w:numPr>
          <w:ilvl w:val="0"/>
          <w:numId w:val="1002"/>
        </w:numPr>
      </w:pPr>
      <w:r>
        <w:t xml:space="preserve">Longer sessions.</w:t>
      </w:r>
    </w:p>
    <w:p>
      <w:pPr>
        <w:pStyle w:val="Compact"/>
        <w:numPr>
          <w:ilvl w:val="0"/>
          <w:numId w:val="1002"/>
        </w:numPr>
      </w:pPr>
      <w:r>
        <w:t xml:space="preserve">We needed more time to finish.</w:t>
      </w:r>
    </w:p>
    <w:p>
      <w:pPr>
        <w:pStyle w:val="FirstParagraph"/>
      </w:pPr>
      <w:r>
        <w:rPr>
          <w:b/>
          <w:bCs/>
        </w:rPr>
        <w:t xml:space="preserve">Smaller groups (n=4)</w:t>
      </w:r>
    </w:p>
    <w:p>
      <w:pPr>
        <w:pStyle w:val="Compact"/>
        <w:numPr>
          <w:ilvl w:val="0"/>
          <w:numId w:val="1003"/>
        </w:numPr>
      </w:pPr>
      <w:r>
        <w:t xml:space="preserve">The groups were too big.</w:t>
      </w:r>
    </w:p>
    <w:p>
      <w:pPr>
        <w:pStyle w:val="Compact"/>
        <w:numPr>
          <w:ilvl w:val="0"/>
          <w:numId w:val="1003"/>
        </w:numPr>
      </w:pPr>
      <w:r>
        <w:t xml:space="preserve">smaller groups so everyone can talk</w:t>
      </w:r>
    </w:p>
    <w:p>
      <w:pPr>
        <w:pStyle w:val="Compact"/>
        <w:numPr>
          <w:ilvl w:val="0"/>
          <w:numId w:val="1003"/>
        </w:numPr>
      </w:pPr>
      <w:r>
        <w:t xml:space="preserve">Too many people at my table.</w:t>
      </w:r>
    </w:p>
    <w:p>
      <w:pPr>
        <w:pStyle w:val="Compact"/>
        <w:numPr>
          <w:ilvl w:val="0"/>
          <w:numId w:val="1003"/>
        </w:numPr>
      </w:pPr>
      <w:r>
        <w:t xml:space="preserve">Smaller groups would help.</w:t>
      </w:r>
    </w:p>
    <w:p>
      <w:pPr>
        <w:pStyle w:val="FirstParagraph"/>
      </w:pPr>
      <w:r>
        <w:rPr>
          <w:b/>
          <w:bCs/>
        </w:rPr>
        <w:t xml:space="preserve">Better materials (n=3)</w:t>
      </w:r>
    </w:p>
    <w:p>
      <w:pPr>
        <w:pStyle w:val="Compact"/>
        <w:numPr>
          <w:ilvl w:val="0"/>
          <w:numId w:val="1004"/>
        </w:numPr>
      </w:pPr>
      <w:r>
        <w:t xml:space="preserve">The handouts were hard to read.</w:t>
      </w:r>
    </w:p>
    <w:p>
      <w:pPr>
        <w:pStyle w:val="Compact"/>
        <w:numPr>
          <w:ilvl w:val="0"/>
          <w:numId w:val="1004"/>
        </w:numPr>
      </w:pPr>
      <w:r>
        <w:t xml:space="preserve">better worksheets</w:t>
      </w:r>
    </w:p>
    <w:p>
      <w:pPr>
        <w:pStyle w:val="Compact"/>
        <w:numPr>
          <w:ilvl w:val="0"/>
          <w:numId w:val="1004"/>
        </w:numPr>
      </w:pPr>
      <w:r>
        <w:t xml:space="preserve">The packet had typos in it.</w:t>
      </w:r>
    </w:p>
    <w:p>
      <w:pPr>
        <w:pStyle w:val="FirstParagraph"/>
      </w:pPr>
      <w:r>
        <w:rPr>
          <w:b/>
          <w:bCs/>
        </w:rPr>
        <w:t xml:space="preserve">Nothing (n=2)</w:t>
      </w:r>
    </w:p>
    <w:p>
      <w:pPr>
        <w:pStyle w:val="Compact"/>
        <w:numPr>
          <w:ilvl w:val="0"/>
          <w:numId w:val="1005"/>
        </w:numPr>
      </w:pPr>
      <w:r>
        <w:t xml:space="preserve">Nothing, it was great.</w:t>
      </w:r>
    </w:p>
    <w:p>
      <w:pPr>
        <w:pStyle w:val="Compact"/>
        <w:numPr>
          <w:ilvl w:val="0"/>
          <w:numId w:val="1005"/>
        </w:numPr>
      </w:pPr>
      <w:r>
        <w:t xml:space="preserve">nothing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13" Target="appendices.qmd" TargetMode="External" /><Relationship Type="http://schemas.openxmlformats.org/officeDocument/2006/relationships/hyperlink" Id="rId9" Target="graphing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appendices.qmd" TargetMode="External" /><Relationship Type="http://schemas.openxmlformats.org/officeDocument/2006/relationships/hyperlink" Id="rId9" Target="graphing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Qualitative (Open-Ended) Coding Guide</dc:title>
  <dc:creator>Prof. Jack Reilly</dc:creator>
  <cp:keywords/>
  <dcterms:created xsi:type="dcterms:W3CDTF">2026-08-26T16:49:44Z</dcterms:created>
  <dcterms:modified xsi:type="dcterms:W3CDTF">2026-08-26T16:49:44Z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guides</vt:lpwstr>
  </property>
  <property fmtid="{D5CDD505-2E9C-101B-9397-08002B2CF9AE}" pid="12" name="subtitle">
    <vt:lpwstr>PST 315: Methods of Policy Analysis and Presentation</vt:lpwstr>
  </property>
  <property fmtid="{D5CDD505-2E9C-101B-9397-08002B2CF9AE}" pid="13" name="toc-title">
    <vt:lpwstr>Table of contents</vt:lpwstr>
  </property>
</Properties>
</file>