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Midterm Review</w:t>
      </w:r>
    </w:p>
    <w:p>
      <w:pPr>
        <w:pStyle w:val="Subtitle"/>
      </w:pPr>
      <w:r>
        <w:t xml:space="preserve">Midterm &amp; Practicum 1</w:t>
      </w:r>
    </w:p>
    <w:p>
      <w:pPr>
        <w:pStyle w:val="Author"/>
      </w:pPr>
      <w:r>
        <w:t xml:space="preserve">Prof. Jack Reilly</w:t>
      </w:r>
    </w:p>
    <w:p>
      <w:pPr>
        <w:pStyle w:val="Date"/>
      </w:pPr>
      <w:r>
        <w:t xml:space="preserve">Fall 2026</w:t>
      </w:r>
    </w:p>
    <w:bookmarkStart w:id="10" w:name="guidelines"/>
    <w:p>
      <w:pPr>
        <w:pStyle w:val="Heading1"/>
      </w:pPr>
      <w:r>
        <w:t xml:space="preserve">Guidelines</w:t>
      </w:r>
    </w:p>
    <w:p>
      <w:pPr>
        <w:pStyle w:val="FirstParagraph"/>
      </w:pPr>
      <w:r>
        <w:t xml:space="preserve">There are two exams that take place around the mid-point of the semester: (1) an in class</w:t>
      </w:r>
      <w:r>
        <w:t xml:space="preserve"> </w:t>
      </w:r>
      <w:r>
        <w:t xml:space="preserve">“midterm”</w:t>
      </w:r>
      <w:r>
        <w:t xml:space="preserve"> </w:t>
      </w:r>
      <w:r>
        <w:t xml:space="preserve">exam and (2) a take-home</w:t>
      </w:r>
      <w:r>
        <w:t xml:space="preserve"> </w:t>
      </w:r>
      <w:r>
        <w:t xml:space="preserve">“practicum”</w:t>
      </w:r>
      <w:r>
        <w:t xml:space="preserve"> </w:t>
      </w:r>
      <w:r>
        <w:t xml:space="preserve">exam.</w:t>
      </w:r>
    </w:p>
    <w:p>
      <w:pPr>
        <w:numPr>
          <w:ilvl w:val="0"/>
          <w:numId w:val="1001"/>
        </w:numPr>
      </w:pPr>
      <w:r>
        <w:t xml:space="preserve">On the</w:t>
      </w:r>
      <w:r>
        <w:t xml:space="preserve"> </w:t>
      </w:r>
      <w:r>
        <w:rPr>
          <w:b/>
          <w:bCs/>
        </w:rPr>
        <w:t xml:space="preserve">in-class</w:t>
      </w:r>
      <w:r>
        <w:rPr>
          <w:b/>
          <w:bCs/>
        </w:rPr>
        <w:t xml:space="preserve"> </w:t>
      </w:r>
      <w:r>
        <w:rPr>
          <w:b/>
          <w:bCs/>
        </w:rPr>
        <w:t xml:space="preserve">“midterm”</w:t>
      </w:r>
      <w:r>
        <w:rPr>
          <w:b/>
          <w:bCs/>
        </w:rPr>
        <w:t xml:space="preserve"> </w:t>
      </w:r>
      <w:r>
        <w:rPr>
          <w:b/>
          <w:bCs/>
        </w:rPr>
        <w:t xml:space="preserve">exam</w:t>
      </w:r>
      <w:r>
        <w:t xml:space="preserve">, you are permitted the full class time (although the exam will likely not take the whole time). You may bring your own simple calculator (not graphing). If you do not have one, the department will provide one. You need to bring a pen and/or pencil. You may also bring a</w:t>
      </w:r>
      <w:r>
        <w:t xml:space="preserve"> </w:t>
      </w:r>
      <w:r>
        <w:t xml:space="preserve">“cheat sheet”</w:t>
      </w:r>
      <w:r>
        <w:t xml:space="preserve"> </w:t>
      </w:r>
      <w:r>
        <w:t xml:space="preserve">— a single page 8x11 sheet of paper with whatever you want written (or typed) on the page.</w:t>
      </w:r>
    </w:p>
    <w:p>
      <w:pPr>
        <w:numPr>
          <w:ilvl w:val="0"/>
          <w:numId w:val="1001"/>
        </w:numPr>
      </w:pPr>
      <w:r>
        <w:t xml:space="preserve">On the</w:t>
      </w:r>
      <w:r>
        <w:t xml:space="preserve"> </w:t>
      </w:r>
      <w:r>
        <w:rPr>
          <w:b/>
          <w:bCs/>
        </w:rPr>
        <w:t xml:space="preserve">take-home</w:t>
      </w:r>
      <w:r>
        <w:rPr>
          <w:b/>
          <w:bCs/>
        </w:rPr>
        <w:t xml:space="preserve"> </w:t>
      </w:r>
      <w:r>
        <w:rPr>
          <w:b/>
          <w:bCs/>
        </w:rPr>
        <w:t xml:space="preserve">“practicum”</w:t>
      </w:r>
      <w:r>
        <w:rPr>
          <w:b/>
          <w:bCs/>
        </w:rPr>
        <w:t xml:space="preserve"> </w:t>
      </w:r>
      <w:r>
        <w:rPr>
          <w:b/>
          <w:bCs/>
        </w:rPr>
        <w:t xml:space="preserve">exam</w:t>
      </w:r>
      <w:r>
        <w:t xml:space="preserve">, you are permitted as much time as you like between when the exam is handed out and when it is due. The take-home IS</w:t>
      </w:r>
      <w:r>
        <w:t xml:space="preserve"> </w:t>
      </w:r>
      <w:r>
        <w:rPr>
          <w:b/>
          <w:bCs/>
        </w:rPr>
        <w:t xml:space="preserve">open-book</w:t>
      </w:r>
      <w:r>
        <w:t xml:space="preserve">,</w:t>
      </w:r>
      <w:r>
        <w:t xml:space="preserve"> </w:t>
      </w:r>
      <w:r>
        <w:rPr>
          <w:b/>
          <w:bCs/>
        </w:rPr>
        <w:t xml:space="preserve">open-note</w:t>
      </w:r>
      <w:r>
        <w:t xml:space="preserve">, and</w:t>
      </w:r>
      <w:r>
        <w:t xml:space="preserve"> </w:t>
      </w:r>
      <w:r>
        <w:rPr>
          <w:b/>
          <w:bCs/>
        </w:rPr>
        <w:t xml:space="preserve">open-internet</w:t>
      </w:r>
      <w:r>
        <w:t xml:space="preserve">, but it IS NOT</w:t>
      </w:r>
      <w:r>
        <w:t xml:space="preserve"> </w:t>
      </w:r>
      <w:r>
        <w:rPr>
          <w:b/>
          <w:bCs/>
        </w:rPr>
        <w:t xml:space="preserve">open-human</w:t>
      </w:r>
      <w:r>
        <w:t xml:space="preserve"> </w:t>
      </w:r>
      <w:r>
        <w:t xml:space="preserve">or</w:t>
      </w:r>
      <w:r>
        <w:t xml:space="preserve"> </w:t>
      </w:r>
      <w:r>
        <w:rPr>
          <w:b/>
          <w:bCs/>
        </w:rPr>
        <w:t xml:space="preserve">open-ai</w:t>
      </w:r>
      <w:r>
        <w:t xml:space="preserve">. In short: you can use any resource you want, so long as that resource does not involve asking another intelligence, whether human or artificial, a question.</w:t>
      </w:r>
    </w:p>
    <w:p>
      <w:pPr>
        <w:numPr>
          <w:ilvl w:val="0"/>
          <w:numId w:val="1001"/>
        </w:numPr>
      </w:pPr>
      <w:r>
        <w:t xml:space="preserve">You can ask the professor questions.</w:t>
      </w:r>
    </w:p>
    <w:p>
      <w:pPr>
        <w:numPr>
          <w:ilvl w:val="0"/>
          <w:numId w:val="1001"/>
        </w:numPr>
      </w:pPr>
      <w:r>
        <w:t xml:space="preserve">On both tests, all material covered in the class, in reading, or in homework is fair game, although the take-home will lean towards using computation and the in-class portion will lean towards conceptual questions.</w:t>
      </w:r>
    </w:p>
    <w:p>
      <w:pPr>
        <w:pStyle w:val="BlockText"/>
      </w:pPr>
      <w:r>
        <w:t xml:space="preserve">The</w:t>
      </w:r>
      <w:r>
        <w:t xml:space="preserve"> </w:t>
      </w:r>
      <w:hyperlink r:id="rId9">
        <w:r>
          <w:rPr>
            <w:rStyle w:val="Hyperlink"/>
          </w:rPr>
          <w:t xml:space="preserve">reference tables</w:t>
        </w:r>
      </w:hyperlink>
      <w:r>
        <w:t xml:space="preserve"> </w:t>
      </w:r>
      <w:r>
        <w:t xml:space="preserve">page shows the statistical tables you will have available to you on the exam.</w:t>
      </w:r>
    </w:p>
    <w:p>
      <w:r>
        <w:pict>
          <v:rect style="width:0;height:1.5pt" o:hralign="center" o:hrstd="t" o:hr="t"/>
        </w:pict>
      </w:r>
    </w:p>
    <w:bookmarkEnd w:id="10"/>
    <w:bookmarkStart w:id="18" w:name="review-terms-and-concepts-by-unit"/>
    <w:p>
      <w:pPr>
        <w:pStyle w:val="Heading1"/>
      </w:pPr>
      <w:r>
        <w:t xml:space="preserve">Review Terms and Concepts by Unit</w:t>
      </w:r>
    </w:p>
    <w:bookmarkStart w:id="11" w:name="basics"/>
    <w:p>
      <w:pPr>
        <w:pStyle w:val="Heading2"/>
      </w:pPr>
      <w:r>
        <w:t xml:space="preserve">1. Basics</w:t>
      </w:r>
    </w:p>
    <w:p>
      <w:pPr>
        <w:pStyle w:val="Compact"/>
        <w:numPr>
          <w:ilvl w:val="0"/>
          <w:numId w:val="1002"/>
        </w:numPr>
      </w:pPr>
      <w:r>
        <w:t xml:space="preserve">Data</w:t>
      </w:r>
    </w:p>
    <w:p>
      <w:pPr>
        <w:pStyle w:val="Compact"/>
        <w:numPr>
          <w:ilvl w:val="0"/>
          <w:numId w:val="1002"/>
        </w:numPr>
      </w:pPr>
      <w:r>
        <w:t xml:space="preserve">Cases</w:t>
      </w:r>
    </w:p>
    <w:p>
      <w:pPr>
        <w:pStyle w:val="Compact"/>
        <w:numPr>
          <w:ilvl w:val="0"/>
          <w:numId w:val="1002"/>
        </w:numPr>
      </w:pPr>
      <w:r>
        <w:t xml:space="preserve">Value</w:t>
      </w:r>
    </w:p>
    <w:p>
      <w:pPr>
        <w:pStyle w:val="Compact"/>
        <w:numPr>
          <w:ilvl w:val="0"/>
          <w:numId w:val="1002"/>
        </w:numPr>
      </w:pPr>
      <w:r>
        <w:t xml:space="preserve">Unit of Analysis</w:t>
      </w:r>
    </w:p>
    <w:p>
      <w:pPr>
        <w:pStyle w:val="Compact"/>
        <w:numPr>
          <w:ilvl w:val="0"/>
          <w:numId w:val="1002"/>
        </w:numPr>
      </w:pPr>
      <w:r>
        <w:t xml:space="preserve">Estimator</w:t>
      </w:r>
    </w:p>
    <w:p>
      <w:pPr>
        <w:pStyle w:val="Compact"/>
        <w:numPr>
          <w:ilvl w:val="0"/>
          <w:numId w:val="1002"/>
        </w:numPr>
      </w:pPr>
      <w:r>
        <w:t xml:space="preserve">Two main goals of data analysis</w:t>
      </w:r>
    </w:p>
    <w:p>
      <w:pPr>
        <w:pStyle w:val="Compact"/>
        <w:numPr>
          <w:ilvl w:val="0"/>
          <w:numId w:val="1002"/>
        </w:numPr>
      </w:pPr>
      <w:r>
        <w:t xml:space="preserve">Hypotheses</w:t>
      </w:r>
    </w:p>
    <w:p>
      <w:pPr>
        <w:pStyle w:val="Compact"/>
        <w:numPr>
          <w:ilvl w:val="0"/>
          <w:numId w:val="1002"/>
        </w:numPr>
      </w:pPr>
      <w:r>
        <w:t xml:space="preserve">Dependent Variable</w:t>
      </w:r>
    </w:p>
    <w:p>
      <w:pPr>
        <w:pStyle w:val="Compact"/>
        <w:numPr>
          <w:ilvl w:val="0"/>
          <w:numId w:val="1002"/>
        </w:numPr>
      </w:pPr>
      <w:r>
        <w:t xml:space="preserve">Independent Variable</w:t>
      </w:r>
    </w:p>
    <w:p>
      <w:pPr>
        <w:pStyle w:val="Compact"/>
        <w:numPr>
          <w:ilvl w:val="0"/>
          <w:numId w:val="1002"/>
        </w:numPr>
      </w:pPr>
      <w:r>
        <w:t xml:space="preserve">Population</w:t>
      </w:r>
    </w:p>
    <w:p>
      <w:pPr>
        <w:pStyle w:val="Compact"/>
        <w:numPr>
          <w:ilvl w:val="0"/>
          <w:numId w:val="1002"/>
        </w:numPr>
      </w:pPr>
      <w:r>
        <w:t xml:space="preserve">Sample</w:t>
      </w:r>
    </w:p>
    <w:p>
      <w:pPr>
        <w:pStyle w:val="Compact"/>
        <w:numPr>
          <w:ilvl w:val="0"/>
          <w:numId w:val="1002"/>
        </w:numPr>
      </w:pPr>
      <w:r>
        <w:t xml:space="preserve">Parameters</w:t>
      </w:r>
    </w:p>
    <w:p>
      <w:pPr>
        <w:pStyle w:val="Compact"/>
        <w:numPr>
          <w:ilvl w:val="0"/>
          <w:numId w:val="1002"/>
        </w:numPr>
      </w:pPr>
      <w:r>
        <w:t xml:space="preserve">Statistics</w:t>
      </w:r>
    </w:p>
    <w:p>
      <w:pPr>
        <w:pStyle w:val="Compact"/>
        <w:numPr>
          <w:ilvl w:val="0"/>
          <w:numId w:val="1002"/>
        </w:numPr>
      </w:pPr>
      <w:r>
        <w:t xml:space="preserve">Descriptive Statistics</w:t>
      </w:r>
    </w:p>
    <w:p>
      <w:pPr>
        <w:pStyle w:val="Compact"/>
        <w:numPr>
          <w:ilvl w:val="0"/>
          <w:numId w:val="1002"/>
        </w:numPr>
      </w:pPr>
      <w:r>
        <w:t xml:space="preserve">Inferential Statistics</w:t>
      </w:r>
    </w:p>
    <w:bookmarkEnd w:id="11"/>
    <w:bookmarkStart w:id="12" w:name="descriptive-statistics"/>
    <w:p>
      <w:pPr>
        <w:pStyle w:val="Heading2"/>
      </w:pPr>
      <w:r>
        <w:t xml:space="preserve">2. Descriptive Statistics</w:t>
      </w:r>
    </w:p>
    <w:p>
      <w:pPr>
        <w:pStyle w:val="Compact"/>
        <w:numPr>
          <w:ilvl w:val="0"/>
          <w:numId w:val="1003"/>
        </w:numPr>
      </w:pPr>
      <w:r>
        <w:t xml:space="preserve">Kinds of variables</w:t>
      </w:r>
    </w:p>
    <w:p>
      <w:pPr>
        <w:pStyle w:val="Compact"/>
        <w:numPr>
          <w:ilvl w:val="0"/>
          <w:numId w:val="1003"/>
        </w:numPr>
      </w:pPr>
      <w:r>
        <w:t xml:space="preserve">Measurement metrics</w:t>
      </w:r>
    </w:p>
    <w:p>
      <w:pPr>
        <w:pStyle w:val="Compact"/>
        <w:numPr>
          <w:ilvl w:val="0"/>
          <w:numId w:val="1003"/>
        </w:numPr>
      </w:pPr>
      <w:r>
        <w:t xml:space="preserve">“Exploratory data analysis”</w:t>
      </w:r>
    </w:p>
    <w:p>
      <w:pPr>
        <w:pStyle w:val="Compact"/>
        <w:numPr>
          <w:ilvl w:val="0"/>
          <w:numId w:val="1003"/>
        </w:numPr>
      </w:pPr>
      <w:r>
        <w:t xml:space="preserve">Kinds of univariate graphics (histogram, box plots, etc)</w:t>
      </w:r>
    </w:p>
    <w:p>
      <w:pPr>
        <w:pStyle w:val="Compact"/>
        <w:numPr>
          <w:ilvl w:val="0"/>
          <w:numId w:val="1003"/>
        </w:numPr>
      </w:pPr>
      <w:r>
        <w:t xml:space="preserve">Tabulations and crosstabulations</w:t>
      </w:r>
    </w:p>
    <w:p>
      <w:pPr>
        <w:pStyle w:val="Compact"/>
        <w:numPr>
          <w:ilvl w:val="0"/>
          <w:numId w:val="1003"/>
        </w:numPr>
      </w:pPr>
      <w:r>
        <w:t xml:space="preserve">Shape, center, spread, skew</w:t>
      </w:r>
    </w:p>
    <w:p>
      <w:pPr>
        <w:pStyle w:val="Compact"/>
        <w:numPr>
          <w:ilvl w:val="0"/>
          <w:numId w:val="1003"/>
        </w:numPr>
      </w:pPr>
      <w:r>
        <w:t xml:space="preserve">Mistakes with graphics: axes, scales, etc</w:t>
      </w:r>
    </w:p>
    <w:p>
      <w:pPr>
        <w:pStyle w:val="Compact"/>
        <w:numPr>
          <w:ilvl w:val="0"/>
          <w:numId w:val="1003"/>
        </w:numPr>
      </w:pPr>
      <w:r>
        <w:t xml:space="preserve">Measures of central tendency</w:t>
      </w:r>
    </w:p>
    <w:p>
      <w:pPr>
        <w:pStyle w:val="Compact"/>
        <w:numPr>
          <w:ilvl w:val="0"/>
          <w:numId w:val="1003"/>
        </w:numPr>
      </w:pPr>
      <w:r>
        <w:t xml:space="preserve">Measures of dispersion</w:t>
      </w:r>
    </w:p>
    <w:p>
      <w:pPr>
        <w:pStyle w:val="Compact"/>
        <w:numPr>
          <w:ilvl w:val="0"/>
          <w:numId w:val="1003"/>
        </w:numPr>
      </w:pPr>
      <w:r>
        <w:t xml:space="preserve">Outliers</w:t>
      </w:r>
    </w:p>
    <w:p>
      <w:pPr>
        <w:pStyle w:val="Compact"/>
        <w:numPr>
          <w:ilvl w:val="0"/>
          <w:numId w:val="1003"/>
        </w:numPr>
      </w:pPr>
      <w:r>
        <w:t xml:space="preserve">Linear transformations</w:t>
      </w:r>
    </w:p>
    <w:p>
      <w:pPr>
        <w:pStyle w:val="Compact"/>
        <w:numPr>
          <w:ilvl w:val="0"/>
          <w:numId w:val="1003"/>
        </w:numPr>
      </w:pPr>
      <w:r>
        <w:t xml:space="preserve">Density curves</w:t>
      </w:r>
    </w:p>
    <w:p>
      <w:pPr>
        <w:pStyle w:val="Compact"/>
        <w:numPr>
          <w:ilvl w:val="0"/>
          <w:numId w:val="1003"/>
        </w:numPr>
      </w:pPr>
      <w:r>
        <w:t xml:space="preserve">Normal distribution</w:t>
      </w:r>
    </w:p>
    <w:p>
      <w:pPr>
        <w:pStyle w:val="Compact"/>
        <w:numPr>
          <w:ilvl w:val="0"/>
          <w:numId w:val="1003"/>
        </w:numPr>
      </w:pPr>
      <w:r>
        <w:t xml:space="preserve">Z-scores</w:t>
      </w:r>
    </w:p>
    <w:p>
      <w:pPr>
        <w:pStyle w:val="Compact"/>
        <w:numPr>
          <w:ilvl w:val="0"/>
          <w:numId w:val="1003"/>
        </w:numPr>
      </w:pPr>
      <w:r>
        <w:t xml:space="preserve">Cumulative probabilities</w:t>
      </w:r>
    </w:p>
    <w:bookmarkEnd w:id="12"/>
    <w:bookmarkStart w:id="13" w:name="statistical-relationships"/>
    <w:p>
      <w:pPr>
        <w:pStyle w:val="Heading2"/>
      </w:pPr>
      <w:r>
        <w:t xml:space="preserve">3. Statistical Relationships</w:t>
      </w:r>
    </w:p>
    <w:p>
      <w:pPr>
        <w:pStyle w:val="Compact"/>
        <w:numPr>
          <w:ilvl w:val="0"/>
          <w:numId w:val="1004"/>
        </w:numPr>
      </w:pPr>
      <w:r>
        <w:t xml:space="preserve">Kinds of bivariate graphics (scatterplots, linear fits, smooth lines, etc)</w:t>
      </w:r>
    </w:p>
    <w:p>
      <w:pPr>
        <w:pStyle w:val="Compact"/>
        <w:numPr>
          <w:ilvl w:val="0"/>
          <w:numId w:val="1004"/>
        </w:numPr>
      </w:pPr>
      <w:r>
        <w:t xml:space="preserve">Scatterplot diagnoses: form, direction, strength, outliers</w:t>
      </w:r>
    </w:p>
    <w:p>
      <w:pPr>
        <w:pStyle w:val="Compact"/>
        <w:numPr>
          <w:ilvl w:val="0"/>
          <w:numId w:val="1004"/>
        </w:numPr>
      </w:pPr>
      <w:r>
        <w:t xml:space="preserve">Transformed data in scatterplots</w:t>
      </w:r>
    </w:p>
    <w:p>
      <w:pPr>
        <w:pStyle w:val="Compact"/>
        <w:numPr>
          <w:ilvl w:val="0"/>
          <w:numId w:val="1004"/>
        </w:numPr>
      </w:pPr>
      <w:r>
        <w:t xml:space="preserve">Correlation coefficients</w:t>
      </w:r>
    </w:p>
    <w:p>
      <w:pPr>
        <w:pStyle w:val="Compact"/>
        <w:numPr>
          <w:ilvl w:val="0"/>
          <w:numId w:val="1004"/>
        </w:numPr>
      </w:pPr>
      <w:r>
        <w:t xml:space="preserve">Sample vs. population calculation differences</w:t>
      </w:r>
    </w:p>
    <w:p>
      <w:pPr>
        <w:pStyle w:val="Compact"/>
        <w:numPr>
          <w:ilvl w:val="0"/>
          <w:numId w:val="1004"/>
        </w:numPr>
      </w:pPr>
      <w:r>
        <w:t xml:space="preserve">Regression</w:t>
      </w:r>
    </w:p>
    <w:p>
      <w:pPr>
        <w:pStyle w:val="Compact"/>
        <w:numPr>
          <w:ilvl w:val="1"/>
          <w:numId w:val="1005"/>
        </w:numPr>
      </w:pPr>
      <w:r>
        <w:t xml:space="preserve">intercept</w:t>
      </w:r>
    </w:p>
    <w:p>
      <w:pPr>
        <w:pStyle w:val="Compact"/>
        <w:numPr>
          <w:ilvl w:val="1"/>
          <w:numId w:val="1005"/>
        </w:numPr>
      </w:pPr>
      <w:r>
        <w:t xml:space="preserve">slope</w:t>
      </w:r>
    </w:p>
    <w:p>
      <w:pPr>
        <w:pStyle w:val="Compact"/>
        <w:numPr>
          <w:ilvl w:val="1"/>
          <w:numId w:val="1005"/>
        </w:numPr>
      </w:pPr>
      <w:r>
        <w:t xml:space="preserve">model component</w:t>
      </w:r>
    </w:p>
    <w:p>
      <w:pPr>
        <w:pStyle w:val="Compact"/>
        <w:numPr>
          <w:ilvl w:val="1"/>
          <w:numId w:val="1005"/>
        </w:numPr>
      </w:pPr>
      <w:r>
        <w:t xml:space="preserve">stochastic component</w:t>
      </w:r>
    </w:p>
    <w:p>
      <w:pPr>
        <w:pStyle w:val="Compact"/>
        <w:numPr>
          <w:ilvl w:val="1"/>
          <w:numId w:val="1005"/>
        </w:numPr>
      </w:pPr>
      <w:r>
        <w:t xml:space="preserve">sources of error in modeling</w:t>
      </w:r>
    </w:p>
    <w:p>
      <w:pPr>
        <w:pStyle w:val="Compact"/>
        <w:numPr>
          <w:ilvl w:val="1"/>
          <w:numId w:val="1005"/>
        </w:numPr>
      </w:pPr>
      <w:r>
        <w:t xml:space="preserve">method of least squares</w:t>
      </w:r>
    </w:p>
    <w:p>
      <w:pPr>
        <w:pStyle w:val="Compact"/>
        <w:numPr>
          <w:ilvl w:val="1"/>
          <w:numId w:val="1005"/>
        </w:numPr>
      </w:pPr>
      <w:r>
        <w:t xml:space="preserve">model sum of squares</w:t>
      </w:r>
    </w:p>
    <w:p>
      <w:pPr>
        <w:pStyle w:val="Compact"/>
        <w:numPr>
          <w:ilvl w:val="1"/>
          <w:numId w:val="1005"/>
        </w:numPr>
      </w:pPr>
      <w:r>
        <w:t xml:space="preserve">residual/error sum of squares</w:t>
      </w:r>
    </w:p>
    <w:p>
      <w:pPr>
        <w:pStyle w:val="Compact"/>
        <w:numPr>
          <w:ilvl w:val="1"/>
          <w:numId w:val="1005"/>
        </w:numPr>
      </w:pPr>
      <w:r>
        <w:t xml:space="preserve">total sum of squares</w:t>
      </w:r>
    </w:p>
    <w:p>
      <w:pPr>
        <w:pStyle w:val="Compact"/>
        <w:numPr>
          <w:ilvl w:val="1"/>
          <w:numId w:val="1005"/>
        </w:numPr>
      </w:pPr>
      <m:oMath>
        <m:sSup>
          <m:e>
            <m:r>
              <m:t>R</m:t>
            </m:r>
          </m:e>
          <m:sup>
            <m:r>
              <m:t>2</m:t>
            </m:r>
          </m:sup>
        </m:sSup>
      </m:oMath>
      <w:r>
        <w:t xml:space="preserve">​</w:t>
      </w:r>
    </w:p>
    <w:p>
      <w:pPr>
        <w:pStyle w:val="Compact"/>
        <w:numPr>
          <w:ilvl w:val="1"/>
          <w:numId w:val="1005"/>
        </w:numPr>
      </w:pPr>
      <m:oMath>
        <m:acc>
          <m:accPr>
            <m:chr m:val="̂"/>
          </m:accPr>
          <m:e>
            <m:r>
              <m:t>Y</m:t>
            </m:r>
          </m:e>
        </m:acc>
      </m:oMath>
      <w:r>
        <w:t xml:space="preserve">​</w:t>
      </w:r>
    </w:p>
    <w:p>
      <w:pPr>
        <w:pStyle w:val="Compact"/>
        <w:numPr>
          <w:ilvl w:val="1"/>
          <w:numId w:val="1005"/>
        </w:numPr>
      </w:pPr>
      <m:oMath>
        <m:sSub>
          <m:e>
            <m:r>
              <m:t>Y</m:t>
            </m:r>
          </m:e>
          <m:sub>
            <m:r>
              <m:t>i</m:t>
            </m:r>
          </m:sub>
        </m:sSub>
      </m:oMath>
      <w:r>
        <w:t xml:space="preserve">​</w:t>
      </w:r>
    </w:p>
    <w:p>
      <w:pPr>
        <w:pStyle w:val="Compact"/>
        <w:numPr>
          <w:ilvl w:val="1"/>
          <w:numId w:val="1005"/>
        </w:numPr>
      </w:pPr>
      <m:oMath>
        <m:acc>
          <m:accPr>
            <m:chr m:val="‾"/>
          </m:accPr>
          <m:e>
            <m:r>
              <m:t>Y</m:t>
            </m:r>
          </m:e>
        </m:acc>
      </m:oMath>
      <w:r>
        <w:t xml:space="preserve">​</w:t>
      </w:r>
    </w:p>
    <w:p>
      <w:pPr>
        <w:pStyle w:val="Compact"/>
        <w:numPr>
          <w:ilvl w:val="1"/>
          <w:numId w:val="1005"/>
        </w:numPr>
      </w:pPr>
      <w:r>
        <w:t xml:space="preserve">Calculating the slope (</w:t>
      </w:r>
      <m:oMath>
        <m:sSub>
          <m:e>
            <m:r>
              <m:t>b</m:t>
            </m:r>
          </m:e>
          <m:sub>
            <m:r>
              <m:t>1</m:t>
            </m:r>
          </m:sub>
        </m:sSub>
      </m:oMath>
      <w:r>
        <w:t xml:space="preserve">) from a correlation coefficient</w:t>
      </w:r>
    </w:p>
    <w:p>
      <w:pPr>
        <w:pStyle w:val="Compact"/>
        <w:numPr>
          <w:ilvl w:val="1"/>
          <w:numId w:val="1005"/>
        </w:numPr>
      </w:pPr>
      <w:r>
        <w:t xml:space="preserve">Regression coefficients vs correlation coefficients</w:t>
      </w:r>
    </w:p>
    <w:p>
      <w:pPr>
        <w:pStyle w:val="Compact"/>
        <w:numPr>
          <w:ilvl w:val="1"/>
          <w:numId w:val="1005"/>
        </w:numPr>
      </w:pPr>
      <w:r>
        <w:t xml:space="preserve">Residual plots</w:t>
      </w:r>
    </w:p>
    <w:p>
      <w:pPr>
        <w:pStyle w:val="Compact"/>
        <w:numPr>
          <w:ilvl w:val="1"/>
          <w:numId w:val="1005"/>
        </w:numPr>
      </w:pPr>
      <w:r>
        <w:t xml:space="preserve">Effects of outliers on regression lines</w:t>
      </w:r>
    </w:p>
    <w:p>
      <w:pPr>
        <w:pStyle w:val="Compact"/>
        <w:numPr>
          <w:ilvl w:val="1"/>
          <w:numId w:val="1005"/>
        </w:numPr>
      </w:pPr>
      <w:r>
        <w:t xml:space="preserve">Predicted values/expected values of Y given X</w:t>
      </w:r>
    </w:p>
    <w:p>
      <w:pPr>
        <w:pStyle w:val="Compact"/>
        <w:numPr>
          <w:ilvl w:val="0"/>
          <w:numId w:val="1004"/>
        </w:numPr>
      </w:pPr>
      <w:r>
        <w:t xml:space="preserve">Two-way tables for qualitative variables</w:t>
      </w:r>
    </w:p>
    <w:bookmarkEnd w:id="13"/>
    <w:bookmarkStart w:id="14" w:name="research-design"/>
    <w:p>
      <w:pPr>
        <w:pStyle w:val="Heading2"/>
      </w:pPr>
      <w:r>
        <w:t xml:space="preserve">4. Research Design</w:t>
      </w:r>
    </w:p>
    <w:p>
      <w:pPr>
        <w:pStyle w:val="Compact"/>
        <w:numPr>
          <w:ilvl w:val="0"/>
          <w:numId w:val="1006"/>
        </w:numPr>
      </w:pPr>
      <w:r>
        <w:t xml:space="preserve">Correlation vs. causation</w:t>
      </w:r>
    </w:p>
    <w:p>
      <w:pPr>
        <w:pStyle w:val="Compact"/>
        <w:numPr>
          <w:ilvl w:val="0"/>
          <w:numId w:val="1006"/>
        </w:numPr>
      </w:pPr>
      <w:r>
        <w:t xml:space="preserve">Confounding variables</w:t>
      </w:r>
    </w:p>
    <w:p>
      <w:pPr>
        <w:pStyle w:val="Compact"/>
        <w:numPr>
          <w:ilvl w:val="0"/>
          <w:numId w:val="1006"/>
        </w:numPr>
      </w:pPr>
      <w:r>
        <w:t xml:space="preserve">Conditions for causation</w:t>
      </w:r>
    </w:p>
    <w:p>
      <w:pPr>
        <w:pStyle w:val="Compact"/>
        <w:numPr>
          <w:ilvl w:val="1"/>
          <w:numId w:val="1007"/>
        </w:numPr>
      </w:pPr>
      <w:r>
        <w:t xml:space="preserve">credible causal link (theory)</w:t>
      </w:r>
    </w:p>
    <w:p>
      <w:pPr>
        <w:pStyle w:val="Compact"/>
        <w:numPr>
          <w:ilvl w:val="1"/>
          <w:numId w:val="1007"/>
        </w:numPr>
      </w:pPr>
      <w:r>
        <w:t xml:space="preserve">temporal precedence (could Y cause X?)</w:t>
      </w:r>
    </w:p>
    <w:p>
      <w:pPr>
        <w:pStyle w:val="Compact"/>
        <w:numPr>
          <w:ilvl w:val="1"/>
          <w:numId w:val="1007"/>
        </w:numPr>
      </w:pPr>
      <w:r>
        <w:t xml:space="preserve">covariation (do X and Y move together/covary?)</w:t>
      </w:r>
    </w:p>
    <w:p>
      <w:pPr>
        <w:pStyle w:val="Compact"/>
        <w:numPr>
          <w:ilvl w:val="1"/>
          <w:numId w:val="1007"/>
        </w:numPr>
      </w:pPr>
      <w:r>
        <w:t xml:space="preserve">no plausible alternative explanations (no confounding variables)</w:t>
      </w:r>
    </w:p>
    <w:p>
      <w:pPr>
        <w:pStyle w:val="Compact"/>
        <w:numPr>
          <w:ilvl w:val="0"/>
          <w:numId w:val="1006"/>
        </w:numPr>
      </w:pPr>
      <w:r>
        <w:t xml:space="preserve">Simpson’s paradox</w:t>
      </w:r>
    </w:p>
    <w:p>
      <w:pPr>
        <w:pStyle w:val="Compact"/>
        <w:numPr>
          <w:ilvl w:val="0"/>
          <w:numId w:val="1006"/>
        </w:numPr>
      </w:pPr>
      <w:r>
        <w:t xml:space="preserve">Internal validity</w:t>
      </w:r>
    </w:p>
    <w:p>
      <w:pPr>
        <w:pStyle w:val="Compact"/>
        <w:numPr>
          <w:ilvl w:val="0"/>
          <w:numId w:val="1006"/>
        </w:numPr>
      </w:pPr>
      <w:r>
        <w:t xml:space="preserve">Threats to internal validity</w:t>
      </w:r>
    </w:p>
    <w:p>
      <w:pPr>
        <w:pStyle w:val="Compact"/>
        <w:numPr>
          <w:ilvl w:val="1"/>
          <w:numId w:val="1008"/>
        </w:numPr>
      </w:pPr>
      <w:r>
        <w:t xml:space="preserve">History</w:t>
      </w:r>
    </w:p>
    <w:p>
      <w:pPr>
        <w:pStyle w:val="Compact"/>
        <w:numPr>
          <w:ilvl w:val="1"/>
          <w:numId w:val="1008"/>
        </w:numPr>
      </w:pPr>
      <w:r>
        <w:t xml:space="preserve">Maturation/Learning</w:t>
      </w:r>
    </w:p>
    <w:p>
      <w:pPr>
        <w:pStyle w:val="Compact"/>
        <w:numPr>
          <w:ilvl w:val="1"/>
          <w:numId w:val="1008"/>
        </w:numPr>
      </w:pPr>
      <w:r>
        <w:t xml:space="preserve">Testing</w:t>
      </w:r>
    </w:p>
    <w:p>
      <w:pPr>
        <w:pStyle w:val="Compact"/>
        <w:numPr>
          <w:ilvl w:val="1"/>
          <w:numId w:val="1008"/>
        </w:numPr>
      </w:pPr>
      <w:r>
        <w:t xml:space="preserve">Instrumentation</w:t>
      </w:r>
    </w:p>
    <w:p>
      <w:pPr>
        <w:pStyle w:val="Compact"/>
        <w:numPr>
          <w:ilvl w:val="1"/>
          <w:numId w:val="1008"/>
        </w:numPr>
      </w:pPr>
      <w:r>
        <w:t xml:space="preserve">Regression to the mean</w:t>
      </w:r>
    </w:p>
    <w:p>
      <w:pPr>
        <w:pStyle w:val="Compact"/>
        <w:numPr>
          <w:ilvl w:val="1"/>
          <w:numId w:val="1008"/>
        </w:numPr>
      </w:pPr>
      <w:r>
        <w:t xml:space="preserve">Selection bias</w:t>
      </w:r>
    </w:p>
    <w:p>
      <w:pPr>
        <w:pStyle w:val="Compact"/>
        <w:numPr>
          <w:ilvl w:val="1"/>
          <w:numId w:val="1008"/>
        </w:numPr>
      </w:pPr>
      <w:r>
        <w:t xml:space="preserve">Mortality</w:t>
      </w:r>
    </w:p>
    <w:p>
      <w:pPr>
        <w:pStyle w:val="Compact"/>
        <w:numPr>
          <w:ilvl w:val="1"/>
          <w:numId w:val="1008"/>
        </w:numPr>
      </w:pPr>
      <w:r>
        <w:t xml:space="preserve">Social Desirability</w:t>
      </w:r>
    </w:p>
    <w:p>
      <w:pPr>
        <w:pStyle w:val="Compact"/>
        <w:numPr>
          <w:ilvl w:val="0"/>
          <w:numId w:val="1006"/>
        </w:numPr>
      </w:pPr>
      <w:r>
        <w:t xml:space="preserve">External validity</w:t>
      </w:r>
    </w:p>
    <w:p>
      <w:pPr>
        <w:pStyle w:val="Compact"/>
        <w:numPr>
          <w:ilvl w:val="0"/>
          <w:numId w:val="1006"/>
        </w:numPr>
      </w:pPr>
      <w:r>
        <w:t xml:space="preserve">Threats to external validity</w:t>
      </w:r>
    </w:p>
    <w:p>
      <w:pPr>
        <w:pStyle w:val="Compact"/>
        <w:numPr>
          <w:ilvl w:val="1"/>
          <w:numId w:val="1009"/>
        </w:numPr>
      </w:pPr>
      <w:r>
        <w:t xml:space="preserve">context</w:t>
      </w:r>
    </w:p>
    <w:p>
      <w:pPr>
        <w:pStyle w:val="Compact"/>
        <w:numPr>
          <w:ilvl w:val="1"/>
          <w:numId w:val="1009"/>
        </w:numPr>
      </w:pPr>
      <w:r>
        <w:t xml:space="preserve">sampling procedures</w:t>
      </w:r>
    </w:p>
    <w:p>
      <w:pPr>
        <w:pStyle w:val="Compact"/>
        <w:numPr>
          <w:ilvl w:val="0"/>
          <w:numId w:val="1006"/>
        </w:numPr>
      </w:pPr>
      <w:r>
        <w:t xml:space="preserve">Anecdotal data</w:t>
      </w:r>
    </w:p>
    <w:p>
      <w:pPr>
        <w:pStyle w:val="Compact"/>
        <w:numPr>
          <w:ilvl w:val="0"/>
          <w:numId w:val="1006"/>
        </w:numPr>
      </w:pPr>
      <w:r>
        <w:t xml:space="preserve">Survivor’s bias</w:t>
      </w:r>
    </w:p>
    <w:p>
      <w:pPr>
        <w:pStyle w:val="Compact"/>
        <w:numPr>
          <w:ilvl w:val="0"/>
          <w:numId w:val="1006"/>
        </w:numPr>
      </w:pPr>
      <w:r>
        <w:t xml:space="preserve">Control through randomization</w:t>
      </w:r>
    </w:p>
    <w:p>
      <w:pPr>
        <w:pStyle w:val="Compact"/>
        <w:numPr>
          <w:ilvl w:val="0"/>
          <w:numId w:val="1006"/>
        </w:numPr>
      </w:pPr>
      <w:r>
        <w:t xml:space="preserve">Experiments</w:t>
      </w:r>
    </w:p>
    <w:p>
      <w:pPr>
        <w:pStyle w:val="Compact"/>
        <w:numPr>
          <w:ilvl w:val="1"/>
          <w:numId w:val="1010"/>
        </w:numPr>
      </w:pPr>
      <w:r>
        <w:t xml:space="preserve">treatment</w:t>
      </w:r>
    </w:p>
    <w:p>
      <w:pPr>
        <w:pStyle w:val="Compact"/>
        <w:numPr>
          <w:ilvl w:val="1"/>
          <w:numId w:val="1010"/>
        </w:numPr>
      </w:pPr>
      <w:r>
        <w:t xml:space="preserve">control</w:t>
      </w:r>
    </w:p>
    <w:p>
      <w:pPr>
        <w:pStyle w:val="Compact"/>
        <w:numPr>
          <w:ilvl w:val="1"/>
          <w:numId w:val="1010"/>
        </w:numPr>
      </w:pPr>
      <w:r>
        <w:t xml:space="preserve">observations</w:t>
      </w:r>
    </w:p>
    <w:p>
      <w:pPr>
        <w:pStyle w:val="Compact"/>
        <w:numPr>
          <w:ilvl w:val="1"/>
          <w:numId w:val="1010"/>
        </w:numPr>
      </w:pPr>
      <w:r>
        <w:t xml:space="preserve">random assignment</w:t>
      </w:r>
    </w:p>
    <w:p>
      <w:pPr>
        <w:pStyle w:val="Compact"/>
        <w:numPr>
          <w:ilvl w:val="0"/>
          <w:numId w:val="1006"/>
        </w:numPr>
      </w:pPr>
      <w:r>
        <w:t xml:space="preserve">Surveys</w:t>
      </w:r>
    </w:p>
    <w:p>
      <w:pPr>
        <w:pStyle w:val="Compact"/>
        <w:numPr>
          <w:ilvl w:val="1"/>
          <w:numId w:val="1011"/>
        </w:numPr>
      </w:pPr>
      <w:r>
        <w:t xml:space="preserve">Population/sample/sampling frame</w:t>
      </w:r>
    </w:p>
    <w:p>
      <w:pPr>
        <w:pStyle w:val="Compact"/>
        <w:numPr>
          <w:ilvl w:val="1"/>
          <w:numId w:val="1011"/>
        </w:numPr>
      </w:pPr>
      <w:r>
        <w:t xml:space="preserve">Simple random sample</w:t>
      </w:r>
    </w:p>
    <w:p>
      <w:pPr>
        <w:pStyle w:val="Compact"/>
        <w:numPr>
          <w:ilvl w:val="1"/>
          <w:numId w:val="1011"/>
        </w:numPr>
      </w:pPr>
      <w:r>
        <w:t xml:space="preserve">Stratified random sample</w:t>
      </w:r>
    </w:p>
    <w:p>
      <w:pPr>
        <w:pStyle w:val="Compact"/>
        <w:numPr>
          <w:ilvl w:val="1"/>
          <w:numId w:val="1011"/>
        </w:numPr>
      </w:pPr>
      <w:r>
        <w:t xml:space="preserve">Multi-stage sampling</w:t>
      </w:r>
    </w:p>
    <w:p>
      <w:pPr>
        <w:pStyle w:val="Compact"/>
        <w:numPr>
          <w:ilvl w:val="1"/>
          <w:numId w:val="1011"/>
        </w:numPr>
      </w:pPr>
      <w:r>
        <w:t xml:space="preserve">Response rate</w:t>
      </w:r>
    </w:p>
    <w:p>
      <w:pPr>
        <w:pStyle w:val="Compact"/>
        <w:numPr>
          <w:ilvl w:val="1"/>
          <w:numId w:val="1011"/>
        </w:numPr>
      </w:pPr>
      <w:r>
        <w:t xml:space="preserve">Response bias</w:t>
      </w:r>
    </w:p>
    <w:p>
      <w:pPr>
        <w:pStyle w:val="Compact"/>
        <w:numPr>
          <w:ilvl w:val="1"/>
          <w:numId w:val="1011"/>
        </w:numPr>
      </w:pPr>
      <w:r>
        <w:t xml:space="preserve">Question framing and ordering effects</w:t>
      </w:r>
    </w:p>
    <w:p>
      <w:pPr>
        <w:pStyle w:val="Compact"/>
        <w:numPr>
          <w:ilvl w:val="1"/>
          <w:numId w:val="1011"/>
        </w:numPr>
      </w:pPr>
      <w:r>
        <w:t xml:space="preserve">Bias vs. variability (validity vs reliability)</w:t>
      </w:r>
    </w:p>
    <w:bookmarkEnd w:id="14"/>
    <w:bookmarkStart w:id="15" w:name="human-subjects-ethics"/>
    <w:p>
      <w:pPr>
        <w:pStyle w:val="Heading2"/>
      </w:pPr>
      <w:r>
        <w:t xml:space="preserve">5. Human Subjects &amp; Ethics</w:t>
      </w:r>
    </w:p>
    <w:p>
      <w:pPr>
        <w:pStyle w:val="FirstParagraph"/>
      </w:pPr>
      <w:r>
        <w:rPr>
          <w:i/>
          <w:iCs/>
        </w:rPr>
        <w:t xml:space="preserve">Not required.</w:t>
      </w:r>
    </w:p>
    <w:p>
      <w:pPr>
        <w:pStyle w:val="Compact"/>
        <w:numPr>
          <w:ilvl w:val="0"/>
          <w:numId w:val="1012"/>
        </w:numPr>
      </w:pPr>
      <w:r>
        <w:t xml:space="preserve">Infamous studies: Nazi medical experiments, Tuskegee syphilis study, Milgram obedience experiment, Stanford prison</w:t>
      </w:r>
      <w:r>
        <w:t xml:space="preserve"> </w:t>
      </w:r>
      <w:r>
        <w:t xml:space="preserve">“experiment”</w:t>
      </w:r>
    </w:p>
    <w:p>
      <w:pPr>
        <w:pStyle w:val="Compact"/>
        <w:numPr>
          <w:ilvl w:val="0"/>
          <w:numId w:val="1012"/>
        </w:numPr>
      </w:pPr>
      <w:r>
        <w:t xml:space="preserve">Belmont report, National Research Act of 1974</w:t>
      </w:r>
    </w:p>
    <w:p>
      <w:pPr>
        <w:pStyle w:val="Compact"/>
        <w:numPr>
          <w:ilvl w:val="0"/>
          <w:numId w:val="1012"/>
        </w:numPr>
      </w:pPr>
      <w:r>
        <w:t xml:space="preserve">IRB (Institutional Review Board)</w:t>
      </w:r>
    </w:p>
    <w:p>
      <w:pPr>
        <w:pStyle w:val="Compact"/>
        <w:numPr>
          <w:ilvl w:val="0"/>
          <w:numId w:val="1012"/>
        </w:numPr>
      </w:pPr>
      <w:r>
        <w:t xml:space="preserve">Core ethical principles</w:t>
      </w:r>
    </w:p>
    <w:p>
      <w:pPr>
        <w:pStyle w:val="Compact"/>
        <w:numPr>
          <w:ilvl w:val="1"/>
          <w:numId w:val="1013"/>
        </w:numPr>
      </w:pPr>
      <w:r>
        <w:t xml:space="preserve">Informed consent</w:t>
      </w:r>
    </w:p>
    <w:p>
      <w:pPr>
        <w:pStyle w:val="Compact"/>
        <w:numPr>
          <w:ilvl w:val="1"/>
          <w:numId w:val="1013"/>
        </w:numPr>
      </w:pPr>
      <w:r>
        <w:t xml:space="preserve">Anonymity</w:t>
      </w:r>
    </w:p>
    <w:p>
      <w:pPr>
        <w:pStyle w:val="Compact"/>
        <w:numPr>
          <w:ilvl w:val="1"/>
          <w:numId w:val="1013"/>
        </w:numPr>
      </w:pPr>
      <w:r>
        <w:t xml:space="preserve">Long-term harm</w:t>
      </w:r>
    </w:p>
    <w:bookmarkEnd w:id="15"/>
    <w:bookmarkStart w:id="16" w:name="probability"/>
    <w:p>
      <w:pPr>
        <w:pStyle w:val="Heading2"/>
      </w:pPr>
      <w:r>
        <w:t xml:space="preserve">6. Probability</w:t>
      </w:r>
    </w:p>
    <w:p>
      <w:pPr>
        <w:pStyle w:val="Compact"/>
        <w:numPr>
          <w:ilvl w:val="0"/>
          <w:numId w:val="1014"/>
        </w:numPr>
      </w:pPr>
      <w:r>
        <w:t xml:space="preserve">Random phenomenon</w:t>
      </w:r>
    </w:p>
    <w:p>
      <w:pPr>
        <w:pStyle w:val="Compact"/>
        <w:numPr>
          <w:ilvl w:val="0"/>
          <w:numId w:val="1014"/>
        </w:numPr>
      </w:pPr>
      <w:r>
        <w:t xml:space="preserve">Independence</w:t>
      </w:r>
    </w:p>
    <w:p>
      <w:pPr>
        <w:pStyle w:val="Compact"/>
        <w:numPr>
          <w:ilvl w:val="0"/>
          <w:numId w:val="1014"/>
        </w:numPr>
      </w:pPr>
      <w:r>
        <w:t xml:space="preserve">Probability model</w:t>
      </w:r>
    </w:p>
    <w:p>
      <w:pPr>
        <w:pStyle w:val="Compact"/>
        <w:numPr>
          <w:ilvl w:val="0"/>
          <w:numId w:val="1014"/>
        </w:numPr>
      </w:pPr>
      <w:r>
        <w:t xml:space="preserve">Sample space</w:t>
      </w:r>
    </w:p>
    <w:p>
      <w:pPr>
        <w:pStyle w:val="Compact"/>
        <w:numPr>
          <w:ilvl w:val="0"/>
          <w:numId w:val="1014"/>
        </w:numPr>
      </w:pPr>
      <w:r>
        <w:t xml:space="preserve">Event</w:t>
      </w:r>
    </w:p>
    <w:p>
      <w:pPr>
        <w:pStyle w:val="Compact"/>
        <w:numPr>
          <w:ilvl w:val="0"/>
          <w:numId w:val="1014"/>
        </w:numPr>
      </w:pPr>
      <w:r>
        <w:t xml:space="preserve">Long run</w:t>
      </w:r>
    </w:p>
    <w:p>
      <w:pPr>
        <w:pStyle w:val="Compact"/>
        <w:numPr>
          <w:ilvl w:val="0"/>
          <w:numId w:val="1014"/>
        </w:numPr>
      </w:pPr>
      <w:r>
        <w:t xml:space="preserve">Rules of probability</w:t>
      </w:r>
    </w:p>
    <w:p>
      <w:pPr>
        <w:pStyle w:val="Compact"/>
        <w:numPr>
          <w:ilvl w:val="1"/>
          <w:numId w:val="1015"/>
        </w:numPr>
      </w:pPr>
      <w:r>
        <w:t xml:space="preserve">Range</w:t>
      </w:r>
    </w:p>
    <w:p>
      <w:pPr>
        <w:pStyle w:val="Compact"/>
        <w:numPr>
          <w:ilvl w:val="1"/>
          <w:numId w:val="1015"/>
        </w:numPr>
      </w:pPr>
      <w:r>
        <w:t xml:space="preserve">Sample space</w:t>
      </w:r>
    </w:p>
    <w:p>
      <w:pPr>
        <w:pStyle w:val="Compact"/>
        <w:numPr>
          <w:ilvl w:val="1"/>
          <w:numId w:val="1015"/>
        </w:numPr>
      </w:pPr>
      <w:r>
        <w:t xml:space="preserve">Addition</w:t>
      </w:r>
    </w:p>
    <w:p>
      <w:pPr>
        <w:pStyle w:val="Compact"/>
        <w:numPr>
          <w:ilvl w:val="1"/>
          <w:numId w:val="1015"/>
        </w:numPr>
      </w:pPr>
      <w:r>
        <w:t xml:space="preserve">Complementarity</w:t>
      </w:r>
    </w:p>
    <w:p>
      <w:pPr>
        <w:pStyle w:val="Compact"/>
        <w:numPr>
          <w:ilvl w:val="1"/>
          <w:numId w:val="1015"/>
        </w:numPr>
      </w:pPr>
      <w:r>
        <w:t xml:space="preserve">Multiplication</w:t>
      </w:r>
    </w:p>
    <w:p>
      <w:pPr>
        <w:pStyle w:val="Compact"/>
        <w:numPr>
          <w:ilvl w:val="0"/>
          <w:numId w:val="1014"/>
        </w:numPr>
      </w:pPr>
      <w:r>
        <w:t xml:space="preserve">Disjoint events</w:t>
      </w:r>
    </w:p>
    <w:p>
      <w:pPr>
        <w:pStyle w:val="Compact"/>
        <w:numPr>
          <w:ilvl w:val="0"/>
          <w:numId w:val="1014"/>
        </w:numPr>
      </w:pPr>
      <w:r>
        <w:t xml:space="preserve">Random variable</w:t>
      </w:r>
    </w:p>
    <w:p>
      <w:pPr>
        <w:pStyle w:val="Compact"/>
        <w:numPr>
          <w:ilvl w:val="1"/>
          <w:numId w:val="1016"/>
        </w:numPr>
      </w:pPr>
      <w:r>
        <w:t xml:space="preserve">Discrete</w:t>
      </w:r>
    </w:p>
    <w:p>
      <w:pPr>
        <w:pStyle w:val="Compact"/>
        <w:numPr>
          <w:ilvl w:val="1"/>
          <w:numId w:val="1016"/>
        </w:numPr>
      </w:pPr>
      <w:r>
        <w:t xml:space="preserve">Continuous</w:t>
      </w:r>
    </w:p>
    <w:p>
      <w:pPr>
        <w:pStyle w:val="Compact"/>
        <w:numPr>
          <w:ilvl w:val="0"/>
          <w:numId w:val="1014"/>
        </w:numPr>
      </w:pPr>
      <w:r>
        <w:t xml:space="preserve">Probability distribution</w:t>
      </w:r>
    </w:p>
    <w:p>
      <w:pPr>
        <w:pStyle w:val="Compact"/>
        <w:numPr>
          <w:ilvl w:val="0"/>
          <w:numId w:val="1014"/>
        </w:numPr>
      </w:pPr>
      <w:r>
        <w:t xml:space="preserve">Expected value (mean) of a random variable</w:t>
      </w:r>
    </w:p>
    <w:p>
      <w:pPr>
        <w:pStyle w:val="Compact"/>
        <w:numPr>
          <w:ilvl w:val="0"/>
          <w:numId w:val="1014"/>
        </w:numPr>
      </w:pPr>
      <w:r>
        <w:t xml:space="preserve">Law of large numbers</w:t>
      </w:r>
    </w:p>
    <w:p>
      <w:pPr>
        <w:pStyle w:val="Compact"/>
        <w:numPr>
          <w:ilvl w:val="0"/>
          <w:numId w:val="1014"/>
        </w:numPr>
      </w:pPr>
      <w:r>
        <w:t xml:space="preserve">Standard deviation/variance of a random variable</w:t>
      </w:r>
    </w:p>
    <w:p>
      <w:pPr>
        <w:pStyle w:val="Compact"/>
        <w:numPr>
          <w:ilvl w:val="0"/>
          <w:numId w:val="1014"/>
        </w:numPr>
      </w:pPr>
      <w:r>
        <w:t xml:space="preserve">Rules for means of random variables</w:t>
      </w:r>
    </w:p>
    <w:p>
      <w:pPr>
        <w:pStyle w:val="Compact"/>
        <w:numPr>
          <w:ilvl w:val="1"/>
          <w:numId w:val="1017"/>
        </w:numPr>
      </w:pPr>
      <w:r>
        <w:t xml:space="preserve">Addition</w:t>
      </w:r>
    </w:p>
    <w:p>
      <w:pPr>
        <w:pStyle w:val="Compact"/>
        <w:numPr>
          <w:ilvl w:val="1"/>
          <w:numId w:val="1017"/>
        </w:numPr>
      </w:pPr>
      <w:r>
        <w:t xml:space="preserve">Subtraction</w:t>
      </w:r>
    </w:p>
    <w:p>
      <w:pPr>
        <w:pStyle w:val="Compact"/>
        <w:numPr>
          <w:ilvl w:val="1"/>
          <w:numId w:val="1017"/>
        </w:numPr>
      </w:pPr>
      <w:r>
        <w:t xml:space="preserve">Linear transformations</w:t>
      </w:r>
    </w:p>
    <w:p>
      <w:pPr>
        <w:pStyle w:val="Compact"/>
        <w:numPr>
          <w:ilvl w:val="0"/>
          <w:numId w:val="1014"/>
        </w:numPr>
      </w:pPr>
      <w:r>
        <w:t xml:space="preserve">Conditional probability</w:t>
      </w:r>
    </w:p>
    <w:p>
      <w:pPr>
        <w:pStyle w:val="Compact"/>
        <w:numPr>
          <w:ilvl w:val="0"/>
          <w:numId w:val="1014"/>
        </w:numPr>
      </w:pPr>
      <w:r>
        <w:t xml:space="preserve">Probability trees</w:t>
      </w:r>
    </w:p>
    <w:bookmarkEnd w:id="16"/>
    <w:bookmarkStart w:id="17" w:name="stata"/>
    <w:p>
      <w:pPr>
        <w:pStyle w:val="Heading2"/>
      </w:pPr>
      <w:r>
        <w:t xml:space="preserve">7. Stata</w:t>
      </w:r>
    </w:p>
    <w:p>
      <w:pPr>
        <w:numPr>
          <w:ilvl w:val="0"/>
          <w:numId w:val="1018"/>
        </w:numPr>
      </w:pPr>
      <w:r>
        <w:t xml:space="preserve">Be able to:</w:t>
      </w:r>
    </w:p>
    <w:p>
      <w:pPr>
        <w:pStyle w:val="Compact"/>
        <w:numPr>
          <w:ilvl w:val="1"/>
          <w:numId w:val="1019"/>
        </w:numPr>
      </w:pPr>
      <w:r>
        <w:t xml:space="preserve">Load data</w:t>
      </w:r>
    </w:p>
    <w:p>
      <w:pPr>
        <w:pStyle w:val="Compact"/>
        <w:numPr>
          <w:ilvl w:val="1"/>
          <w:numId w:val="1019"/>
        </w:numPr>
      </w:pPr>
      <w:r>
        <w:t xml:space="preserve">Use a</w:t>
      </w:r>
      <w:r>
        <w:t xml:space="preserve"> </w:t>
      </w:r>
      <w:r>
        <w:rPr>
          <w:rStyle w:val="VerbatimChar"/>
        </w:rPr>
        <w:t xml:space="preserve">.do</w:t>
      </w:r>
      <w:r>
        <w:t xml:space="preserve"> </w:t>
      </w:r>
      <w:r>
        <w:t xml:space="preserve">file</w:t>
      </w:r>
    </w:p>
    <w:p>
      <w:pPr>
        <w:pStyle w:val="Compact"/>
        <w:numPr>
          <w:ilvl w:val="1"/>
          <w:numId w:val="1019"/>
        </w:numPr>
      </w:pPr>
      <w:r>
        <w:t xml:space="preserve">Place comments in</w:t>
      </w:r>
      <w:r>
        <w:t xml:space="preserve"> </w:t>
      </w:r>
      <w:r>
        <w:rPr>
          <w:rStyle w:val="VerbatimChar"/>
        </w:rPr>
        <w:t xml:space="preserve">.do</w:t>
      </w:r>
      <w:r>
        <w:t xml:space="preserve"> </w:t>
      </w:r>
      <w:r>
        <w:t xml:space="preserve">files</w:t>
      </w:r>
    </w:p>
    <w:p>
      <w:pPr>
        <w:pStyle w:val="Compact"/>
        <w:numPr>
          <w:ilvl w:val="1"/>
          <w:numId w:val="1019"/>
        </w:numPr>
      </w:pPr>
      <w:r>
        <w:t xml:space="preserve">Calculate summary statistics</w:t>
      </w:r>
    </w:p>
    <w:p>
      <w:pPr>
        <w:pStyle w:val="Compact"/>
        <w:numPr>
          <w:ilvl w:val="1"/>
          <w:numId w:val="1019"/>
        </w:numPr>
      </w:pPr>
      <w:r>
        <w:t xml:space="preserve">Graph scatterplots and histograms</w:t>
      </w:r>
    </w:p>
    <w:p>
      <w:pPr>
        <w:pStyle w:val="Compact"/>
        <w:numPr>
          <w:ilvl w:val="1"/>
          <w:numId w:val="1019"/>
        </w:numPr>
      </w:pPr>
      <w:r>
        <w:t xml:space="preserve">Recode data</w:t>
      </w:r>
    </w:p>
    <w:p>
      <w:pPr>
        <w:pStyle w:val="Compact"/>
        <w:numPr>
          <w:ilvl w:val="1"/>
          <w:numId w:val="1019"/>
        </w:numPr>
      </w:pPr>
      <w:r>
        <w:t xml:space="preserve">Tabulate and cross-tabulate data</w:t>
      </w:r>
    </w:p>
    <w:p>
      <w:pPr>
        <w:pStyle w:val="Compact"/>
        <w:numPr>
          <w:ilvl w:val="1"/>
          <w:numId w:val="1019"/>
        </w:numPr>
      </w:pPr>
      <w:r>
        <w:t xml:space="preserve">Run regressions</w:t>
      </w:r>
    </w:p>
    <w:p>
      <w:pPr>
        <w:pStyle w:val="Compact"/>
        <w:numPr>
          <w:ilvl w:val="1"/>
          <w:numId w:val="1019"/>
        </w:numPr>
      </w:pPr>
      <w:r>
        <w:t xml:space="preserve">Predict values from regression results</w:t>
      </w:r>
    </w:p>
    <w:p>
      <w:pPr>
        <w:numPr>
          <w:ilvl w:val="0"/>
          <w:numId w:val="1018"/>
        </w:numPr>
      </w:pPr>
      <w:r>
        <w:t xml:space="preserve">Selected Stata commands</w:t>
      </w:r>
    </w:p>
    <w:p>
      <w:pPr>
        <w:pStyle w:val="SourceCode"/>
        <w:numPr>
          <w:ilvl w:val="0"/>
          <w:numId w:val="1000"/>
        </w:numPr>
      </w:pPr>
      <w:r>
        <w:rPr>
          <w:rStyle w:val="NormalTok"/>
        </w:rPr>
        <w:t xml:space="preserve">cd, </w:t>
      </w:r>
      <w:r>
        <w:rPr>
          <w:rStyle w:val="KeywordTok"/>
        </w:rPr>
        <w:t xml:space="preserve">use</w:t>
      </w:r>
      <w:r>
        <w:rPr>
          <w:rStyle w:val="NormalTok"/>
        </w:rPr>
        <w:t xml:space="preserve">, </w:t>
      </w:r>
      <w:r>
        <w:rPr>
          <w:rStyle w:val="KeywordTok"/>
        </w:rPr>
        <w:t xml:space="preserve">clear</w:t>
      </w:r>
      <w:r>
        <w:rPr>
          <w:rStyle w:val="NormalTok"/>
        </w:rPr>
        <w:t xml:space="preserve">, </w:t>
      </w:r>
      <w:r>
        <w:rPr>
          <w:rStyle w:val="KeywordTok"/>
        </w:rPr>
        <w:t xml:space="preserve">tab</w:t>
      </w:r>
      <w:r>
        <w:rPr>
          <w:rStyle w:val="NormalTok"/>
        </w:rPr>
        <w:t xml:space="preserve">, </w:t>
      </w:r>
      <w:r>
        <w:rPr>
          <w:rStyle w:val="KeywordTok"/>
        </w:rPr>
        <w:t xml:space="preserve">sum</w:t>
      </w:r>
      <w:r>
        <w:rPr>
          <w:rStyle w:val="NormalTok"/>
        </w:rPr>
        <w:t xml:space="preserve">, </w:t>
      </w:r>
      <w:r>
        <w:rPr>
          <w:rStyle w:val="KeywordTok"/>
        </w:rPr>
        <w:t xml:space="preserve">tabstat</w:t>
      </w:r>
      <w:r>
        <w:rPr>
          <w:rStyle w:val="NormalTok"/>
        </w:rPr>
        <w:t xml:space="preserve">, </w:t>
      </w:r>
      <w:r>
        <w:rPr>
          <w:rStyle w:val="KeywordTok"/>
        </w:rPr>
        <w:t xml:space="preserve">gen</w:t>
      </w:r>
      <w:r>
        <w:rPr>
          <w:rStyle w:val="NormalTok"/>
        </w:rPr>
        <w:t xml:space="preserve">, </w:t>
      </w:r>
      <w:r>
        <w:rPr>
          <w:rStyle w:val="KeywordTok"/>
        </w:rPr>
        <w:t xml:space="preserve">sort</w:t>
      </w:r>
      <w:r>
        <w:rPr>
          <w:rStyle w:val="NormalTok"/>
        </w:rPr>
        <w:t xml:space="preserve">, browse,</w:t>
      </w:r>
      <w:r>
        <w:br/>
      </w:r>
      <w:r>
        <w:rPr>
          <w:rStyle w:val="KeywordTok"/>
        </w:rPr>
        <w:t xml:space="preserve">twoway</w:t>
      </w:r>
      <w:r>
        <w:rPr>
          <w:rStyle w:val="NormalTok"/>
        </w:rPr>
        <w:t xml:space="preserve">, </w:t>
      </w:r>
      <w:r>
        <w:rPr>
          <w:rStyle w:val="KeywordTok"/>
        </w:rPr>
        <w:t xml:space="preserve">scatter</w:t>
      </w:r>
      <w:r>
        <w:rPr>
          <w:rStyle w:val="NormalTok"/>
        </w:rPr>
        <w:t xml:space="preserve">, </w:t>
      </w:r>
      <w:r>
        <w:rPr>
          <w:rStyle w:val="KeywordTok"/>
        </w:rPr>
        <w:t xml:space="preserve">histogram</w:t>
      </w:r>
      <w:r>
        <w:rPr>
          <w:rStyle w:val="NormalTok"/>
        </w:rPr>
        <w:t xml:space="preserve">, </w:t>
      </w:r>
      <w:r>
        <w:rPr>
          <w:rStyle w:val="KeywordTok"/>
        </w:rPr>
        <w:t xml:space="preserve">graph</w:t>
      </w:r>
      <w:r>
        <w:rPr>
          <w:rStyle w:val="NormalTok"/>
        </w:rPr>
        <w:t xml:space="preserve"> </w:t>
      </w:r>
      <w:r>
        <w:rPr>
          <w:rStyle w:val="KeywordTok"/>
        </w:rPr>
        <w:t xml:space="preserve">export</w:t>
      </w:r>
      <w:r>
        <w:rPr>
          <w:rStyle w:val="NormalTok"/>
        </w:rPr>
        <w:t xml:space="preserve">, </w:t>
      </w:r>
      <w:r>
        <w:rPr>
          <w:rStyle w:val="FunctionTok"/>
        </w:rPr>
        <w:t xml:space="preserve">corr</w:t>
      </w:r>
      <w:r>
        <w:rPr>
          <w:rStyle w:val="NormalTok"/>
        </w:rPr>
        <w:t xml:space="preserve">, </w:t>
      </w:r>
      <w:r>
        <w:rPr>
          <w:rStyle w:val="KeywordTok"/>
        </w:rPr>
        <w:t xml:space="preserve">reg</w:t>
      </w:r>
      <w:r>
        <w:rPr>
          <w:rStyle w:val="NormalTok"/>
        </w:rPr>
        <w:t xml:space="preserve">,</w:t>
      </w:r>
      <w:r>
        <w:br/>
      </w:r>
      <w:r>
        <w:rPr>
          <w:rStyle w:val="NormalTok"/>
        </w:rPr>
        <w:t xml:space="preserve">disp, </w:t>
      </w:r>
      <w:r>
        <w:rPr>
          <w:rStyle w:val="KeywordTok"/>
        </w:rPr>
        <w:t xml:space="preserve">bys</w:t>
      </w:r>
      <w:r>
        <w:rPr>
          <w:rStyle w:val="NormalTok"/>
        </w:rPr>
        <w:t xml:space="preserve">, </w:t>
      </w:r>
      <w:r>
        <w:rPr>
          <w:rStyle w:val="KeywordTok"/>
        </w:rPr>
        <w:t xml:space="preserve">predict</w:t>
      </w:r>
      <w:r>
        <w:rPr>
          <w:rStyle w:val="NormalTok"/>
        </w:rPr>
        <w:t xml:space="preserve">, </w:t>
      </w:r>
      <w:r>
        <w:rPr>
          <w:rStyle w:val="KeywordTok"/>
        </w:rPr>
        <w:t xml:space="preserve">save</w:t>
      </w:r>
      <w:r>
        <w:rPr>
          <w:rStyle w:val="NormalTok"/>
        </w:rPr>
        <w:t xml:space="preserve">, </w:t>
      </w:r>
      <w:r>
        <w:rPr>
          <w:rStyle w:val="KeywordTok"/>
        </w:rPr>
        <w:t xml:space="preserve">keep</w:t>
      </w:r>
      <w:r>
        <w:rPr>
          <w:rStyle w:val="NormalTok"/>
        </w:rPr>
        <w:t xml:space="preserve">, </w:t>
      </w:r>
      <w:r>
        <w:rPr>
          <w:rStyle w:val="KeywordTok"/>
        </w:rPr>
        <w:t xml:space="preserve">drop</w:t>
      </w:r>
      <w:r>
        <w:rPr>
          <w:rStyle w:val="NormalTok"/>
        </w:rPr>
        <w:t xml:space="preserve">, </w:t>
      </w:r>
      <w:r>
        <w:rPr>
          <w:rStyle w:val="KeywordTok"/>
        </w:rPr>
        <w:t xml:space="preserve">if</w:t>
      </w:r>
      <w:r>
        <w:rPr>
          <w:rStyle w:val="NormalTok"/>
        </w:rPr>
        <w:t xml:space="preserve">, </w:t>
      </w:r>
      <w:r>
        <w:rPr>
          <w:rStyle w:val="KeywordTok"/>
        </w:rPr>
        <w:t xml:space="preserve">recode</w:t>
      </w:r>
      <w:r>
        <w:rPr>
          <w:rStyle w:val="NormalTok"/>
        </w:rPr>
        <w:t xml:space="preserve">,</w:t>
      </w:r>
      <w:r>
        <w:br/>
      </w:r>
      <w:r>
        <w:rPr>
          <w:rStyle w:val="KeywordTok"/>
        </w:rPr>
        <w:t xml:space="preserve">collapse</w:t>
      </w:r>
      <w:r>
        <w:rPr>
          <w:rStyle w:val="NormalTok"/>
        </w:rPr>
        <w:t xml:space="preserve">, </w:t>
      </w:r>
      <w:r>
        <w:rPr>
          <w:rStyle w:val="KeywordTok"/>
        </w:rPr>
        <w:t xml:space="preserve">preserve</w:t>
      </w:r>
      <w:r>
        <w:rPr>
          <w:rStyle w:val="NormalTok"/>
        </w:rPr>
        <w:t xml:space="preserve">, </w:t>
      </w:r>
      <w:r>
        <w:rPr>
          <w:rStyle w:val="KeywordTok"/>
        </w:rPr>
        <w:t xml:space="preserve">restore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tables.qmd" TargetMode="External" /></Relationships>
</file>

<file path=word/_rels/footnotes.xml.rels><?xml version="1.0" encoding="UTF-8"?><Relationships xmlns="http://schemas.openxmlformats.org/package/2006/relationships"><Relationship Type="http://schemas.openxmlformats.org/officeDocument/2006/relationships/hyperlink" Id="rId9" Target="tables.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Midterm Review</dc:title>
  <dc:creator>Prof. Jack Reilly</dc:creator>
  <cp:keywords/>
  <dcterms:created xsi:type="dcterms:W3CDTF">2026-08-26T20:49:46Z</dcterms:created>
  <dcterms:modified xsi:type="dcterms:W3CDTF">2026-08-26T20:49:46Z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Midterm &amp; Practicum 1</vt:lpwstr>
  </property>
  <property fmtid="{D5CDD505-2E9C-101B-9397-08002B2CF9AE}" pid="13" name="toc-title">
    <vt:lpwstr>Table of contents</vt:lpwstr>
  </property>
</Properties>
</file>